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jc w:val="both"/>
        <w:rPr>
          <w:rFonts w:ascii="Times New Roman" w:hAnsi="Times New Roman" w:eastAsia="DFKai-SB"/>
          <w:i/>
          <w:szCs w:val="24"/>
        </w:rPr>
      </w:pPr>
      <w:r>
        <w:rPr>
          <w:rFonts w:hint="eastAsia" w:ascii="Times New Roman" w:hAnsi="Times New Roman" w:eastAsia="DFKai-SB"/>
          <w:i/>
          <w:szCs w:val="24"/>
        </w:rPr>
        <w:t>香港交易及結算所有限公司及香港聯合交易所有限公司對本公告</w:t>
      </w:r>
      <w:bookmarkStart w:id="3" w:name="_GoBack"/>
      <w:bookmarkEnd w:id="3"/>
      <w:r>
        <w:rPr>
          <w:rFonts w:hint="eastAsia" w:ascii="Times New Roman" w:hAnsi="Times New Roman" w:eastAsia="DFKai-SB"/>
          <w:i/>
          <w:szCs w:val="24"/>
        </w:rPr>
        <w:t>之內容概不負責，對其準確性或完整性亦不發表任何聲明，並明確表示概不就因本公告全部或任何部分內容而產生或因倚賴該等內容而引致之任何損失承擔任何責任。</w:t>
      </w:r>
    </w:p>
    <w:p>
      <w:pPr>
        <w:pStyle w:val="5"/>
        <w:snapToGrid w:val="0"/>
        <w:jc w:val="both"/>
        <w:rPr>
          <w:rFonts w:ascii="Times New Roman" w:hAnsi="Times New Roman" w:eastAsia="DFKai-SB"/>
          <w:i/>
          <w:szCs w:val="24"/>
        </w:rPr>
      </w:pPr>
    </w:p>
    <w:p>
      <w:pPr>
        <w:pStyle w:val="5"/>
        <w:snapToGrid w:val="0"/>
        <w:jc w:val="both"/>
        <w:rPr>
          <w:rFonts w:ascii="Times New Roman" w:hAnsi="Times New Roman" w:eastAsia="DFKai-SB"/>
          <w:i/>
          <w:szCs w:val="24"/>
        </w:rPr>
      </w:pPr>
      <w:r>
        <w:rPr>
          <w:rFonts w:hint="eastAsia" w:ascii="Times New Roman" w:hAnsi="Times New Roman" w:eastAsia="DFKai-SB"/>
          <w:i/>
          <w:szCs w:val="24"/>
        </w:rPr>
        <w:t>本公告僅供參考，並不構成收購、購買或認購本公司證券之邀請或要約。</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ascii="Times New Roman" w:hAnsi="Times New Roman" w:eastAsia="DFKai-SB"/>
          <w:i/>
          <w:iCs/>
          <w:szCs w:val="24"/>
          <w:lang w:eastAsia="zh-CN"/>
        </w:rPr>
        <w:drawing>
          <wp:anchor distT="0" distB="0" distL="114300" distR="114300" simplePos="0" relativeHeight="251658240" behindDoc="0" locked="0" layoutInCell="1" allowOverlap="1">
            <wp:simplePos x="0" y="0"/>
            <wp:positionH relativeFrom="column">
              <wp:posOffset>2583815</wp:posOffset>
            </wp:positionH>
            <wp:positionV relativeFrom="paragraph">
              <wp:posOffset>32385</wp:posOffset>
            </wp:positionV>
            <wp:extent cx="533400" cy="5772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a:ln>
                      <a:noFill/>
                    </a:ln>
                  </pic:spPr>
                </pic:pic>
              </a:graphicData>
            </a:graphic>
          </wp:anchor>
        </w:drawing>
      </w:r>
    </w:p>
    <w:p>
      <w:pPr>
        <w:pStyle w:val="5"/>
        <w:snapToGrid w:val="0"/>
        <w:spacing w:line="240" w:lineRule="atLeast"/>
        <w:jc w:val="center"/>
        <w:rPr>
          <w:rFonts w:ascii="Times New Roman" w:hAnsi="Times New Roman" w:eastAsia="DFKai-SB"/>
          <w:szCs w:val="24"/>
        </w:rPr>
      </w:pPr>
      <w:r>
        <w:rPr>
          <w:rFonts w:ascii="Times New Roman" w:hAnsi="Times New Roman" w:eastAsia="DFKai-SB"/>
          <w:szCs w:val="24"/>
        </w:rPr>
        <w:tab/>
      </w:r>
    </w:p>
    <w:p>
      <w:pPr>
        <w:pStyle w:val="5"/>
        <w:snapToGrid w:val="0"/>
        <w:spacing w:line="240" w:lineRule="atLeast"/>
        <w:rPr>
          <w:rFonts w:ascii="Times New Roman" w:hAnsi="Times New Roman" w:eastAsia="DFKai-SB"/>
          <w:b/>
          <w:bCs/>
          <w:szCs w:val="24"/>
        </w:rPr>
      </w:pPr>
    </w:p>
    <w:p>
      <w:pPr>
        <w:pStyle w:val="5"/>
        <w:snapToGrid w:val="0"/>
        <w:spacing w:line="240" w:lineRule="atLeast"/>
        <w:jc w:val="center"/>
        <w:rPr>
          <w:rFonts w:ascii="Times New Roman" w:hAnsi="Times New Roman" w:eastAsia="DFKai-SB"/>
          <w:b/>
          <w:szCs w:val="24"/>
        </w:rPr>
      </w:pPr>
      <w:r>
        <w:rPr>
          <w:rFonts w:hint="eastAsia" w:ascii="Times New Roman" w:hAnsi="Times New Roman" w:eastAsia="DFKai-SB"/>
          <w:b/>
          <w:bCs/>
          <w:szCs w:val="24"/>
        </w:rPr>
        <w:t>山東新華製藥股份有限公司</w:t>
      </w:r>
    </w:p>
    <w:p>
      <w:pPr>
        <w:pStyle w:val="34"/>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lang w:eastAsia="zh-TW"/>
        </w:rPr>
        <w:t>Shandong Xinhua Pharmaceutical Company Limited</w:t>
      </w:r>
    </w:p>
    <w:p>
      <w:pPr>
        <w:pStyle w:val="5"/>
        <w:snapToGrid w:val="0"/>
        <w:spacing w:before="80"/>
        <w:jc w:val="center"/>
        <w:rPr>
          <w:rFonts w:ascii="Times New Roman" w:hAnsi="Times New Roman" w:eastAsia="DFKai-SB"/>
          <w:i/>
          <w:szCs w:val="24"/>
        </w:rPr>
      </w:pPr>
      <w:r>
        <w:rPr>
          <w:rFonts w:ascii="Times New Roman" w:hAnsi="Times New Roman" w:eastAsia="DFKai-SB"/>
          <w:b/>
          <w:bCs/>
          <w:szCs w:val="24"/>
        </w:rPr>
        <w:t xml:space="preserve"> </w:t>
      </w:r>
      <w:r>
        <w:rPr>
          <w:rFonts w:hint="eastAsia" w:ascii="Times New Roman" w:hAnsi="Times New Roman" w:eastAsia="DFKai-SB"/>
          <w:i/>
          <w:szCs w:val="24"/>
        </w:rPr>
        <w:t>（於中華人民共和國註冊成立之股份有限公司）</w:t>
      </w:r>
    </w:p>
    <w:p>
      <w:pPr>
        <w:jc w:val="center"/>
        <w:rPr>
          <w:rFonts w:eastAsia="DFKai-SB"/>
          <w:b/>
          <w:bCs/>
        </w:rPr>
      </w:pPr>
      <w:r>
        <w:rPr>
          <w:rFonts w:hint="eastAsia" w:eastAsia="DFKai-SB"/>
          <w:b/>
          <w:bCs/>
        </w:rPr>
        <w:t>（股份代號：</w:t>
      </w:r>
      <w:r>
        <w:rPr>
          <w:rFonts w:eastAsia="DFKai-SB"/>
          <w:b/>
          <w:bCs/>
        </w:rPr>
        <w:t>00719</w:t>
      </w:r>
      <w:r>
        <w:rPr>
          <w:rFonts w:hint="eastAsia" w:eastAsia="DFKai-SB"/>
          <w:b/>
          <w:bCs/>
        </w:rPr>
        <w:t>）</w:t>
      </w:r>
    </w:p>
    <w:p>
      <w:pPr>
        <w:autoSpaceDE w:val="0"/>
        <w:autoSpaceDN w:val="0"/>
        <w:adjustRightInd w:val="0"/>
        <w:ind w:left="110" w:right="49"/>
        <w:jc w:val="center"/>
        <w:rPr>
          <w:rFonts w:eastAsia="DFKai-SB"/>
          <w:b/>
          <w:bCs/>
          <w:color w:val="231F20"/>
          <w:spacing w:val="4"/>
        </w:rPr>
      </w:pPr>
      <w:r>
        <w:rPr>
          <w:rFonts w:eastAsia="DFKai-SB"/>
          <w:b/>
          <w:bCs/>
          <w:color w:val="231F20"/>
          <w:spacing w:val="4"/>
        </w:rPr>
        <w:t xml:space="preserve"> </w:t>
      </w:r>
      <w:r>
        <w:rPr>
          <w:rFonts w:hint="eastAsia" w:eastAsia="DFKai-SB"/>
          <w:b/>
          <w:bCs/>
          <w:color w:val="231F20"/>
          <w:spacing w:val="4"/>
        </w:rPr>
        <w:t>關連交易</w:t>
      </w:r>
      <w:r>
        <w:rPr>
          <w:rFonts w:eastAsia="DFKai-SB"/>
          <w:b/>
          <w:bCs/>
          <w:color w:val="231F20"/>
          <w:spacing w:val="4"/>
        </w:rPr>
        <w:t>:</w:t>
      </w:r>
    </w:p>
    <w:p>
      <w:pPr>
        <w:autoSpaceDE w:val="0"/>
        <w:autoSpaceDN w:val="0"/>
        <w:adjustRightInd w:val="0"/>
        <w:ind w:left="110" w:right="49"/>
        <w:jc w:val="center"/>
        <w:rPr>
          <w:rFonts w:eastAsia="DFKai-SB"/>
          <w:b/>
          <w:bCs/>
          <w:color w:val="231F20"/>
          <w:spacing w:val="4"/>
        </w:rPr>
      </w:pPr>
      <w:r>
        <w:rPr>
          <w:rFonts w:hint="eastAsia" w:eastAsia="DFKai-SB"/>
          <w:b/>
          <w:bCs/>
          <w:color w:val="231F20"/>
          <w:spacing w:val="4"/>
        </w:rPr>
        <w:t>投資協議</w:t>
      </w:r>
    </w:p>
    <w:tbl>
      <w:tblPr>
        <w:tblStyle w:val="16"/>
        <w:tblpPr w:leftFromText="180" w:rightFromText="180" w:vertAnchor="text" w:horzAnchor="margin" w:tblpXSpec="center" w:tblpY="224"/>
        <w:tblW w:w="90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90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18" w:hRule="atLeast"/>
        </w:trPr>
        <w:tc>
          <w:tcPr>
            <w:tcW w:w="9085" w:type="dxa"/>
            <w:tcBorders>
              <w:left w:val="single" w:color="auto" w:sz="4" w:space="0"/>
              <w:right w:val="single" w:color="auto" w:sz="4" w:space="0"/>
            </w:tcBorders>
            <w:tcMar>
              <w:top w:w="113" w:type="dxa"/>
              <w:left w:w="170" w:type="dxa"/>
              <w:bottom w:w="170" w:type="dxa"/>
              <w:right w:w="170" w:type="dxa"/>
            </w:tcMar>
            <w:vAlign w:val="bottom"/>
          </w:tcPr>
          <w:p>
            <w:pPr>
              <w:autoSpaceDE w:val="0"/>
              <w:autoSpaceDN w:val="0"/>
              <w:adjustRightInd w:val="0"/>
              <w:ind w:right="49"/>
              <w:rPr>
                <w:rFonts w:eastAsia="DFKai-SB"/>
                <w:b/>
                <w:bCs/>
                <w:color w:val="231F20"/>
                <w:spacing w:val="4"/>
                <w:lang w:eastAsia="zh-HK"/>
              </w:rPr>
            </w:pPr>
            <w:r>
              <w:rPr>
                <w:rFonts w:hint="eastAsia" w:eastAsia="DFKai-SB"/>
                <w:b/>
                <w:bCs/>
                <w:color w:val="231F20"/>
                <w:spacing w:val="4"/>
              </w:rPr>
              <w:t>投資協議</w:t>
            </w:r>
          </w:p>
          <w:p>
            <w:pPr>
              <w:autoSpaceDE w:val="0"/>
              <w:autoSpaceDN w:val="0"/>
              <w:adjustRightInd w:val="0"/>
              <w:ind w:right="49"/>
              <w:jc w:val="both"/>
              <w:rPr>
                <w:rFonts w:eastAsia="DFKai-SB"/>
                <w:bCs/>
                <w:color w:val="231F20"/>
                <w:spacing w:val="4"/>
                <w:lang w:eastAsia="zh-HK"/>
              </w:rPr>
            </w:pPr>
            <w:r>
              <w:rPr>
                <w:rFonts w:hint="eastAsia" w:eastAsia="DFKai-SB"/>
                <w:bCs/>
                <w:color w:val="231F20"/>
                <w:spacing w:val="4"/>
              </w:rPr>
              <w:t>山東新華製藥股份有限公司</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本公司</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董事會</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董事會</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謹此宣佈，</w:t>
            </w:r>
            <w:r>
              <w:rPr>
                <w:rFonts w:eastAsia="DFKai-SB"/>
                <w:bCs/>
                <w:color w:val="231F20"/>
                <w:spacing w:val="4"/>
              </w:rPr>
              <w:t>2020</w:t>
            </w:r>
            <w:r>
              <w:rPr>
                <w:rFonts w:hint="eastAsia" w:eastAsia="DFKai-SB"/>
                <w:bCs/>
                <w:color w:val="231F20"/>
                <w:spacing w:val="4"/>
              </w:rPr>
              <w:t>年</w:t>
            </w:r>
            <w:r>
              <w:rPr>
                <w:rFonts w:eastAsia="DFKai-SB"/>
                <w:bCs/>
                <w:color w:val="231F20"/>
                <w:spacing w:val="4"/>
              </w:rPr>
              <w:t>12</w:t>
            </w:r>
            <w:r>
              <w:rPr>
                <w:rFonts w:hint="eastAsia" w:eastAsia="DFKai-SB"/>
                <w:bCs/>
                <w:color w:val="231F20"/>
                <w:spacing w:val="4"/>
              </w:rPr>
              <w:t>月</w:t>
            </w:r>
            <w:r>
              <w:rPr>
                <w:rFonts w:eastAsia="DFKai-SB"/>
                <w:bCs/>
                <w:color w:val="231F20"/>
                <w:spacing w:val="4"/>
              </w:rPr>
              <w:t>7</w:t>
            </w:r>
            <w:r>
              <w:rPr>
                <w:rFonts w:hint="eastAsia" w:eastAsia="DFKai-SB"/>
                <w:bCs/>
                <w:color w:val="231F20"/>
                <w:spacing w:val="4"/>
              </w:rPr>
              <w:t>日，本公司與華魯投資發展有限公司</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華魯投資</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、華啟創聯（淄博）投資合夥企業（有限合夥）</w:t>
            </w:r>
            <w:r>
              <w:rPr>
                <w:rFonts w:eastAsia="DFKai-SB"/>
                <w:bCs/>
                <w:color w:val="231F20"/>
                <w:spacing w:val="4"/>
              </w:rPr>
              <w:t xml:space="preserve"> (</w:t>
            </w:r>
            <w:r>
              <w:rPr>
                <w:rFonts w:hint="eastAsia" w:eastAsia="DFKai-SB"/>
                <w:bCs/>
                <w:color w:val="231F20"/>
                <w:spacing w:val="4"/>
              </w:rPr>
              <w:t>「</w:t>
            </w:r>
            <w:r>
              <w:rPr>
                <w:rFonts w:hint="eastAsia" w:eastAsia="DFKai-SB"/>
                <w:b/>
                <w:bCs/>
                <w:color w:val="231F20"/>
                <w:spacing w:val="4"/>
              </w:rPr>
              <w:t>華啟創聯</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、海南鑫壘網絡科技有限公司</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海南鑫壘</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及北京德而信健康科技有限公司</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北京德而信</w:t>
            </w:r>
            <w:r>
              <w:rPr>
                <w:rFonts w:hint="eastAsia" w:eastAsia="DFKai-SB"/>
                <w:bCs/>
                <w:color w:val="231F20"/>
                <w:spacing w:val="4"/>
              </w:rPr>
              <w:t>」</w:t>
            </w:r>
            <w:r>
              <w:rPr>
                <w:rFonts w:eastAsia="DFKai-SB"/>
                <w:bCs/>
                <w:color w:val="231F20"/>
                <w:spacing w:val="4"/>
              </w:rPr>
              <w:t>)</w:t>
            </w:r>
            <w:r>
              <w:rPr>
                <w:sz w:val="22"/>
                <w:szCs w:val="22"/>
              </w:rPr>
              <w:t xml:space="preserve"> </w:t>
            </w:r>
            <w:r>
              <w:rPr>
                <w:rFonts w:eastAsia="DFKai-SB"/>
                <w:bCs/>
                <w:color w:val="231F20"/>
                <w:spacing w:val="4"/>
              </w:rPr>
              <w:t>(</w:t>
            </w:r>
            <w:r>
              <w:rPr>
                <w:rFonts w:hint="eastAsia" w:eastAsia="DFKai-SB"/>
                <w:bCs/>
                <w:color w:val="231F20"/>
                <w:spacing w:val="4"/>
              </w:rPr>
              <w:t>各為「</w:t>
            </w:r>
            <w:r>
              <w:rPr>
                <w:rFonts w:hint="eastAsia" w:eastAsia="DFKai-SB"/>
                <w:b/>
                <w:bCs/>
                <w:color w:val="231F20"/>
                <w:spacing w:val="4"/>
              </w:rPr>
              <w:t>投資方</w:t>
            </w:r>
            <w:r>
              <w:rPr>
                <w:rFonts w:hint="eastAsia" w:eastAsia="DFKai-SB"/>
                <w:bCs/>
                <w:color w:val="231F20"/>
                <w:spacing w:val="4"/>
              </w:rPr>
              <w:t>」，以下統稱為「</w:t>
            </w:r>
            <w:r>
              <w:rPr>
                <w:rFonts w:hint="eastAsia" w:eastAsia="DFKai-SB"/>
                <w:b/>
                <w:bCs/>
                <w:color w:val="231F20"/>
                <w:spacing w:val="4"/>
              </w:rPr>
              <w:t>眾投資方</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就於中華人民共和國</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中國</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成立一家有限責任公司，共同簽訂一份投資協議</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投資協議</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w:t>
            </w:r>
          </w:p>
          <w:p>
            <w:pPr>
              <w:autoSpaceDE w:val="0"/>
              <w:autoSpaceDN w:val="0"/>
              <w:adjustRightInd w:val="0"/>
              <w:ind w:right="49"/>
              <w:jc w:val="both"/>
              <w:rPr>
                <w:rFonts w:eastAsia="DFKai-SB"/>
                <w:bCs/>
                <w:color w:val="231F20"/>
                <w:spacing w:val="4"/>
                <w:lang w:eastAsia="zh-HK"/>
              </w:rPr>
            </w:pPr>
          </w:p>
          <w:p>
            <w:pPr>
              <w:autoSpaceDE w:val="0"/>
              <w:autoSpaceDN w:val="0"/>
              <w:adjustRightInd w:val="0"/>
              <w:ind w:right="49"/>
              <w:jc w:val="both"/>
              <w:rPr>
                <w:rFonts w:eastAsia="DFKai-SB"/>
                <w:b/>
                <w:bCs/>
                <w:color w:val="231F20"/>
                <w:spacing w:val="4"/>
                <w:lang w:eastAsia="zh-HK"/>
              </w:rPr>
            </w:pPr>
            <w:r>
              <w:rPr>
                <w:rFonts w:hint="eastAsia" w:eastAsia="DFKai-SB"/>
                <w:b/>
                <w:bCs/>
                <w:color w:val="231F20"/>
                <w:spacing w:val="4"/>
              </w:rPr>
              <w:t>上市規則的涵義</w:t>
            </w:r>
          </w:p>
          <w:p>
            <w:pPr>
              <w:autoSpaceDE w:val="0"/>
              <w:autoSpaceDN w:val="0"/>
              <w:adjustRightInd w:val="0"/>
              <w:ind w:right="49"/>
              <w:jc w:val="both"/>
              <w:rPr>
                <w:rFonts w:eastAsia="DFKai-SB"/>
                <w:bCs/>
                <w:color w:val="231F20"/>
                <w:spacing w:val="4"/>
                <w:lang w:eastAsia="zh-HK"/>
              </w:rPr>
            </w:pPr>
            <w:r>
              <w:rPr>
                <w:rFonts w:hint="eastAsia" w:eastAsia="DFKai-SB"/>
                <w:bCs/>
                <w:color w:val="231F20"/>
                <w:spacing w:val="4"/>
              </w:rPr>
              <w:t>於本公告日期，華魯控股集團有限公司</w:t>
            </w:r>
            <w:r>
              <w:rPr>
                <w:rFonts w:eastAsia="DFKai-SB"/>
                <w:bCs/>
                <w:color w:val="231F20"/>
                <w:spacing w:val="4"/>
              </w:rPr>
              <w:t>(</w:t>
            </w:r>
            <w:r>
              <w:rPr>
                <w:rFonts w:hint="eastAsia" w:eastAsia="DFKai-SB"/>
                <w:bCs/>
                <w:color w:val="231F20"/>
                <w:spacing w:val="4"/>
              </w:rPr>
              <w:t>「</w:t>
            </w:r>
            <w:r>
              <w:rPr>
                <w:rFonts w:hint="eastAsia" w:eastAsia="DFKai-SB"/>
                <w:b/>
                <w:bCs/>
                <w:color w:val="231F20"/>
                <w:spacing w:val="4"/>
              </w:rPr>
              <w:t>華魯控股</w:t>
            </w:r>
            <w:r>
              <w:rPr>
                <w:rFonts w:hint="eastAsia" w:eastAsia="DFKai-SB"/>
                <w:bCs/>
                <w:color w:val="231F20"/>
                <w:spacing w:val="4"/>
              </w:rPr>
              <w:t>」</w:t>
            </w:r>
            <w:r>
              <w:rPr>
                <w:rFonts w:eastAsia="DFKai-SB"/>
                <w:bCs/>
                <w:color w:val="231F20"/>
                <w:spacing w:val="4"/>
              </w:rPr>
              <w:t>)</w:t>
            </w:r>
            <w:r>
              <w:rPr>
                <w:rFonts w:hint="eastAsia" w:eastAsia="DFKai-SB"/>
                <w:bCs/>
                <w:color w:val="231F20"/>
                <w:spacing w:val="4"/>
              </w:rPr>
              <w:t>為本公司的控股股東（定義見上市規則），並直接及間接地擁有本公司全部已發行股本約</w:t>
            </w:r>
            <w:r>
              <w:rPr>
                <w:rFonts w:hint="eastAsia" w:eastAsia="宋体"/>
                <w:bCs/>
                <w:color w:val="231F20"/>
                <w:spacing w:val="4"/>
              </w:rPr>
              <w:t>36.96</w:t>
            </w:r>
            <w:r>
              <w:rPr>
                <w:rFonts w:eastAsia="DFKai-SB"/>
                <w:bCs/>
                <w:color w:val="231F20"/>
                <w:spacing w:val="4"/>
              </w:rPr>
              <w:t>%</w:t>
            </w:r>
            <w:r>
              <w:rPr>
                <w:rFonts w:hint="eastAsia" w:eastAsia="DFKai-SB"/>
                <w:bCs/>
                <w:color w:val="231F20"/>
                <w:spacing w:val="4"/>
              </w:rPr>
              <w:t>。華魯投資為華魯控股之全資附屬公司，故為本公司之關連人士。因此，根據上市規則第</w:t>
            </w:r>
            <w:r>
              <w:rPr>
                <w:rFonts w:eastAsia="DFKai-SB"/>
                <w:bCs/>
                <w:color w:val="231F20"/>
                <w:spacing w:val="4"/>
              </w:rPr>
              <w:t>14A</w:t>
            </w:r>
            <w:r>
              <w:rPr>
                <w:rFonts w:hint="eastAsia" w:eastAsia="DFKai-SB"/>
                <w:bCs/>
                <w:color w:val="231F20"/>
                <w:spacing w:val="4"/>
              </w:rPr>
              <w:t>章，投資協議和據此進行的交易構成本公司之關連交易。</w:t>
            </w:r>
          </w:p>
          <w:p>
            <w:pPr>
              <w:autoSpaceDE w:val="0"/>
              <w:autoSpaceDN w:val="0"/>
              <w:adjustRightInd w:val="0"/>
              <w:ind w:right="49"/>
              <w:jc w:val="both"/>
              <w:rPr>
                <w:rFonts w:eastAsia="DFKai-SB"/>
                <w:bCs/>
                <w:color w:val="231F20"/>
                <w:spacing w:val="4"/>
                <w:lang w:eastAsia="zh-HK"/>
              </w:rPr>
            </w:pPr>
          </w:p>
          <w:p>
            <w:pPr>
              <w:autoSpaceDE w:val="0"/>
              <w:autoSpaceDN w:val="0"/>
              <w:adjustRightInd w:val="0"/>
              <w:ind w:right="49"/>
              <w:jc w:val="both"/>
              <w:rPr>
                <w:rFonts w:eastAsia="DFKai-SB"/>
                <w:bCs/>
                <w:color w:val="231F20"/>
                <w:spacing w:val="4"/>
                <w:lang w:eastAsia="zh-HK"/>
              </w:rPr>
            </w:pPr>
            <w:r>
              <w:rPr>
                <w:rFonts w:hint="eastAsia" w:eastAsia="DFKai-SB"/>
                <w:bCs/>
                <w:color w:val="231F20"/>
                <w:spacing w:val="4"/>
              </w:rPr>
              <w:t>由於有關該投資協議的各項適用百分比率（定義見上市規則第</w:t>
            </w:r>
            <w:r>
              <w:rPr>
                <w:rFonts w:eastAsia="DFKai-SB"/>
                <w:bCs/>
                <w:color w:val="231F20"/>
                <w:spacing w:val="4"/>
              </w:rPr>
              <w:t>14.07</w:t>
            </w:r>
            <w:r>
              <w:rPr>
                <w:rFonts w:hint="eastAsia" w:eastAsia="DFKai-SB"/>
                <w:bCs/>
                <w:color w:val="231F20"/>
                <w:spacing w:val="4"/>
              </w:rPr>
              <w:t>條）超過</w:t>
            </w:r>
            <w:r>
              <w:rPr>
                <w:rFonts w:eastAsia="DFKai-SB"/>
                <w:bCs/>
                <w:color w:val="231F20"/>
                <w:spacing w:val="4"/>
              </w:rPr>
              <w:t>0.1%</w:t>
            </w:r>
            <w:r>
              <w:rPr>
                <w:rFonts w:hint="eastAsia" w:eastAsia="DFKai-SB"/>
                <w:bCs/>
                <w:color w:val="231F20"/>
                <w:spacing w:val="4"/>
              </w:rPr>
              <w:t>但少於</w:t>
            </w:r>
            <w:r>
              <w:rPr>
                <w:rFonts w:eastAsia="DFKai-SB"/>
                <w:bCs/>
                <w:color w:val="231F20"/>
                <w:spacing w:val="4"/>
              </w:rPr>
              <w:t>5%</w:t>
            </w:r>
            <w:r>
              <w:rPr>
                <w:rFonts w:hint="eastAsia" w:eastAsia="DFKai-SB"/>
                <w:bCs/>
                <w:color w:val="231F20"/>
                <w:spacing w:val="4"/>
              </w:rPr>
              <w:t>，根據上市規則第</w:t>
            </w:r>
            <w:r>
              <w:rPr>
                <w:rFonts w:eastAsia="DFKai-SB"/>
                <w:bCs/>
                <w:color w:val="231F20"/>
                <w:spacing w:val="4"/>
              </w:rPr>
              <w:t>14A</w:t>
            </w:r>
            <w:r>
              <w:rPr>
                <w:rFonts w:hint="eastAsia" w:eastAsia="DFKai-SB"/>
                <w:bCs/>
                <w:color w:val="231F20"/>
                <w:spacing w:val="4"/>
              </w:rPr>
              <w:t>章，據此進行的關連交易須遵守申報及公告的規定，惟獲豁免遵守通函（包括獨立財務意見）及獨立股東批准的規定。</w:t>
            </w:r>
          </w:p>
        </w:tc>
      </w:tr>
    </w:tbl>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bCs/>
          <w:color w:val="231F20"/>
          <w:spacing w:val="4"/>
          <w:szCs w:val="24"/>
          <w:lang w:eastAsia="zh-HK"/>
        </w:rPr>
      </w:pPr>
      <w:r>
        <w:rPr>
          <w:rFonts w:hint="eastAsia" w:ascii="Times New Roman" w:hAnsi="Times New Roman" w:eastAsia="DFKai-SB"/>
          <w:b/>
          <w:bCs/>
          <w:color w:val="231F20"/>
          <w:spacing w:val="4"/>
          <w:szCs w:val="24"/>
        </w:rPr>
        <w:t>引言</w:t>
      </w:r>
    </w:p>
    <w:p>
      <w:pPr>
        <w:pStyle w:val="5"/>
        <w:snapToGrid w:val="0"/>
        <w:jc w:val="both"/>
        <w:rPr>
          <w:rFonts w:ascii="Times New Roman" w:hAnsi="Times New Roman" w:eastAsia="DFKai-SB"/>
          <w:bCs/>
          <w:color w:val="231F20"/>
          <w:spacing w:val="4"/>
          <w:szCs w:val="24"/>
        </w:rPr>
      </w:pPr>
      <w:r>
        <w:rPr>
          <w:rFonts w:hint="eastAsia" w:ascii="Times New Roman" w:hAnsi="Times New Roman" w:eastAsia="DFKai-SB"/>
          <w:bCs/>
          <w:color w:val="231F20"/>
          <w:spacing w:val="4"/>
          <w:szCs w:val="24"/>
        </w:rPr>
        <w:t>本公司、華魯投資、華啟創聯、海南鑫壘及北京德而信於</w:t>
      </w:r>
      <w:r>
        <w:rPr>
          <w:rFonts w:ascii="Times New Roman" w:hAnsi="Times New Roman" w:eastAsia="DFKai-SB"/>
          <w:bCs/>
          <w:color w:val="231F20"/>
          <w:spacing w:val="4"/>
          <w:szCs w:val="24"/>
        </w:rPr>
        <w:t>2020年12月7日簽訂</w:t>
      </w:r>
      <w:r>
        <w:rPr>
          <w:rFonts w:hint="eastAsia" w:ascii="Times New Roman" w:hAnsi="Times New Roman" w:eastAsia="DFKai-SB"/>
          <w:bCs/>
          <w:color w:val="231F20"/>
          <w:spacing w:val="4"/>
          <w:szCs w:val="24"/>
        </w:rPr>
        <w:t>投資協議，在中國設立一家有限責任公司，投資總額為人民幣</w:t>
      </w:r>
      <w:r>
        <w:rPr>
          <w:rFonts w:ascii="Times New Roman" w:hAnsi="Times New Roman" w:eastAsia="DFKai-SB"/>
          <w:bCs/>
          <w:color w:val="231F20"/>
          <w:spacing w:val="4"/>
          <w:szCs w:val="24"/>
        </w:rPr>
        <w:t>1</w:t>
      </w:r>
      <w:r>
        <w:rPr>
          <w:rFonts w:hint="eastAsia" w:ascii="Times New Roman" w:hAnsi="Times New Roman" w:eastAsia="DFKai-SB"/>
          <w:bCs/>
          <w:color w:val="231F20"/>
          <w:spacing w:val="4"/>
          <w:szCs w:val="24"/>
        </w:rPr>
        <w:t>億元</w:t>
      </w:r>
      <w:r>
        <w:rPr>
          <w:rFonts w:hint="eastAsia" w:ascii="Times New Roman" w:hAnsi="Times New Roman" w:eastAsia="DFKai-SB"/>
          <w:bCs/>
          <w:color w:val="231F20"/>
          <w:spacing w:val="4"/>
          <w:szCs w:val="24"/>
          <w:lang w:eastAsia="zh-HK"/>
        </w:rPr>
        <w:t>，</w:t>
      </w:r>
      <w:r>
        <w:rPr>
          <w:rFonts w:hint="eastAsia" w:ascii="Times New Roman" w:hAnsi="Times New Roman" w:eastAsia="DFKai-SB"/>
          <w:bCs/>
          <w:color w:val="231F20"/>
          <w:spacing w:val="4"/>
          <w:szCs w:val="24"/>
        </w:rPr>
        <w:t>以打通互聯網醫療產業鏈，打造為用戶提供優質一站式全生命週期的大健康服務雲平</w:t>
      </w:r>
      <w:r>
        <w:rPr>
          <w:rFonts w:hint="eastAsia" w:ascii="Times New Roman" w:hAnsi="Times New Roman" w:eastAsia="DFKai-SB"/>
          <w:bCs/>
          <w:color w:val="231F20"/>
          <w:spacing w:val="4"/>
          <w:szCs w:val="24"/>
          <w:lang w:eastAsia="zh-HK"/>
        </w:rPr>
        <w:t>台</w:t>
      </w:r>
      <w:r>
        <w:rPr>
          <w:rFonts w:hint="eastAsia" w:ascii="Times New Roman" w:hAnsi="Times New Roman" w:eastAsia="DFKai-SB"/>
          <w:bCs/>
          <w:color w:val="231F20"/>
          <w:spacing w:val="4"/>
          <w:szCs w:val="24"/>
        </w:rPr>
        <w:t>。上述擬成立公司的名稱為</w:t>
      </w:r>
      <w:r>
        <w:rPr>
          <w:rFonts w:hint="eastAsia" w:eastAsia="DFKai-SB"/>
          <w:bCs/>
          <w:color w:val="231F20"/>
          <w:spacing w:val="4"/>
        </w:rPr>
        <w:t>「</w:t>
      </w:r>
      <w:r>
        <w:rPr>
          <w:rFonts w:hint="eastAsia" w:eastAsia="DFKai-SB"/>
          <w:bCs/>
          <w:color w:val="231F20"/>
          <w:spacing w:val="4"/>
          <w:lang w:eastAsia="zh-HK"/>
        </w:rPr>
        <w:t>山東</w:t>
      </w:r>
      <w:r>
        <w:rPr>
          <w:rFonts w:hint="eastAsia" w:ascii="Times New Roman" w:hAnsi="Times New Roman" w:eastAsia="DFKai-SB"/>
          <w:bCs/>
          <w:color w:val="231F20"/>
          <w:spacing w:val="4"/>
          <w:szCs w:val="24"/>
        </w:rPr>
        <w:t>新華健康科技有限公司</w:t>
      </w:r>
      <w:r>
        <w:rPr>
          <w:rFonts w:hint="eastAsia" w:eastAsia="DFKai-SB"/>
          <w:bCs/>
          <w:color w:val="231F20"/>
          <w:spacing w:val="4"/>
        </w:rPr>
        <w:t>」</w:t>
      </w:r>
      <w:r>
        <w:rPr>
          <w:rFonts w:ascii="Times New Roman" w:hAnsi="Times New Roman" w:eastAsia="DFKai-SB"/>
          <w:bCs/>
          <w:color w:val="231F20"/>
          <w:spacing w:val="4"/>
          <w:szCs w:val="24"/>
        </w:rPr>
        <w:t>(</w:t>
      </w:r>
      <w:r>
        <w:rPr>
          <w:rFonts w:hint="eastAsia" w:eastAsia="DFKai-SB"/>
          <w:bCs/>
          <w:color w:val="231F20"/>
          <w:spacing w:val="4"/>
        </w:rPr>
        <w:t>「</w:t>
      </w:r>
      <w:r>
        <w:rPr>
          <w:rFonts w:hint="eastAsia" w:ascii="Times New Roman" w:hAnsi="Times New Roman" w:eastAsia="DFKai-SB"/>
          <w:b/>
          <w:bCs/>
          <w:color w:val="231F20"/>
          <w:spacing w:val="4"/>
          <w:szCs w:val="24"/>
        </w:rPr>
        <w:t>新華健康</w:t>
      </w:r>
      <w:r>
        <w:rPr>
          <w:rFonts w:hint="eastAsia" w:eastAsia="DFKai-SB"/>
          <w:bCs/>
          <w:color w:val="231F20"/>
          <w:spacing w:val="4"/>
        </w:rPr>
        <w:t>」</w:t>
      </w:r>
      <w:r>
        <w:rPr>
          <w:rFonts w:ascii="Times New Roman" w:hAnsi="Times New Roman" w:eastAsia="DFKai-SB"/>
          <w:bCs/>
          <w:color w:val="231F20"/>
          <w:spacing w:val="4"/>
          <w:szCs w:val="24"/>
        </w:rPr>
        <w:t>)</w:t>
      </w:r>
      <w:r>
        <w:rPr>
          <w:rFonts w:hint="eastAsia" w:ascii="Times New Roman" w:hAnsi="Times New Roman" w:eastAsia="DFKai-SB"/>
          <w:bCs/>
          <w:color w:val="231F20"/>
          <w:spacing w:val="4"/>
          <w:szCs w:val="24"/>
        </w:rPr>
        <w:t>，該公司名稱有待主管市場監督管理局核准。</w:t>
      </w:r>
    </w:p>
    <w:p>
      <w:pPr>
        <w:pStyle w:val="5"/>
        <w:snapToGrid w:val="0"/>
        <w:jc w:val="both"/>
        <w:rPr>
          <w:rFonts w:ascii="Times New Roman" w:hAnsi="Times New Roman" w:eastAsia="DFKai-SB"/>
          <w:b/>
          <w:bCs/>
          <w:color w:val="231F20"/>
          <w:spacing w:val="4"/>
          <w:szCs w:val="24"/>
          <w:lang w:eastAsia="zh-HK"/>
        </w:rPr>
      </w:pPr>
    </w:p>
    <w:p>
      <w:pPr>
        <w:pStyle w:val="5"/>
        <w:snapToGrid w:val="0"/>
        <w:jc w:val="both"/>
        <w:rPr>
          <w:rFonts w:ascii="Times New Roman" w:hAnsi="Times New Roman" w:eastAsia="DFKai-SB"/>
          <w:b/>
          <w:bCs/>
          <w:color w:val="231F20"/>
          <w:spacing w:val="4"/>
          <w:szCs w:val="24"/>
          <w:lang w:eastAsia="zh-HK"/>
        </w:rPr>
      </w:pPr>
      <w:r>
        <w:rPr>
          <w:rFonts w:hint="eastAsia" w:ascii="Times New Roman" w:hAnsi="Times New Roman" w:eastAsia="DFKai-SB"/>
          <w:b/>
          <w:bCs/>
          <w:color w:val="231F20"/>
          <w:spacing w:val="4"/>
          <w:szCs w:val="24"/>
        </w:rPr>
        <w:t>投資協議</w:t>
      </w:r>
    </w:p>
    <w:p>
      <w:pPr>
        <w:pStyle w:val="5"/>
        <w:snapToGrid w:val="0"/>
        <w:jc w:val="both"/>
        <w:rPr>
          <w:rFonts w:ascii="Times New Roman" w:hAnsi="Times New Roman" w:eastAsia="DFKai-SB"/>
          <w:szCs w:val="24"/>
        </w:rPr>
      </w:pPr>
      <w:r>
        <w:rPr>
          <w:rFonts w:hint="eastAsia" w:ascii="Times New Roman" w:hAnsi="Times New Roman" w:eastAsia="DFKai-SB"/>
          <w:szCs w:val="24"/>
        </w:rPr>
        <w:t>投資協議之主要條款載列如下：</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日期</w:t>
      </w:r>
    </w:p>
    <w:p>
      <w:pPr>
        <w:pStyle w:val="5"/>
        <w:snapToGrid w:val="0"/>
        <w:jc w:val="both"/>
        <w:rPr>
          <w:rFonts w:ascii="Times New Roman" w:hAnsi="Times New Roman" w:eastAsia="DFKai-SB"/>
          <w:b/>
          <w:szCs w:val="24"/>
        </w:rPr>
      </w:pPr>
    </w:p>
    <w:p>
      <w:pPr>
        <w:pStyle w:val="5"/>
        <w:snapToGrid w:val="0"/>
        <w:jc w:val="both"/>
        <w:rPr>
          <w:rFonts w:ascii="Times New Roman" w:hAnsi="Times New Roman" w:eastAsia="DFKai-SB"/>
          <w:bCs/>
          <w:color w:val="231F20"/>
          <w:spacing w:val="4"/>
        </w:rPr>
      </w:pPr>
      <w:r>
        <w:rPr>
          <w:rFonts w:ascii="Times New Roman" w:hAnsi="Times New Roman" w:eastAsia="DFKai-SB"/>
          <w:szCs w:val="24"/>
        </w:rPr>
        <w:t>2020 年</w:t>
      </w:r>
      <w:r>
        <w:rPr>
          <w:rFonts w:ascii="Times New Roman" w:hAnsi="Times New Roman" w:eastAsia="DFKai-SB"/>
          <w:bCs/>
          <w:color w:val="231F20"/>
          <w:spacing w:val="4"/>
        </w:rPr>
        <w:t>12月7日</w:t>
      </w:r>
    </w:p>
    <w:p>
      <w:pPr>
        <w:pStyle w:val="5"/>
        <w:snapToGrid w:val="0"/>
        <w:jc w:val="both"/>
        <w:rPr>
          <w:rFonts w:ascii="Times New Roman" w:hAnsi="Times New Roman" w:eastAsia="DFKai-SB"/>
          <w:bCs/>
          <w:color w:val="231F20"/>
          <w:spacing w:val="4"/>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訂約方</w:t>
      </w:r>
    </w:p>
    <w:p>
      <w:pPr>
        <w:pStyle w:val="5"/>
        <w:snapToGrid w:val="0"/>
        <w:jc w:val="both"/>
        <w:rPr>
          <w:rFonts w:ascii="Times New Roman" w:hAnsi="Times New Roman" w:eastAsia="DFKai-SB"/>
          <w:b/>
          <w:szCs w:val="24"/>
        </w:rPr>
      </w:pPr>
    </w:p>
    <w:p>
      <w:pPr>
        <w:pStyle w:val="5"/>
        <w:numPr>
          <w:ilvl w:val="0"/>
          <w:numId w:val="1"/>
        </w:numPr>
        <w:snapToGrid w:val="0"/>
        <w:jc w:val="both"/>
        <w:rPr>
          <w:rFonts w:ascii="Times New Roman" w:hAnsi="Times New Roman" w:eastAsia="DFKai-SB"/>
          <w:szCs w:val="24"/>
        </w:rPr>
      </w:pPr>
      <w:r>
        <w:rPr>
          <w:rFonts w:hint="eastAsia" w:ascii="Times New Roman" w:hAnsi="Times New Roman" w:eastAsia="DFKai-SB"/>
          <w:szCs w:val="24"/>
        </w:rPr>
        <w:t>本公司；</w:t>
      </w:r>
    </w:p>
    <w:p>
      <w:pPr>
        <w:pStyle w:val="5"/>
        <w:snapToGrid w:val="0"/>
        <w:ind w:left="360"/>
        <w:jc w:val="both"/>
        <w:rPr>
          <w:rFonts w:ascii="Times New Roman" w:hAnsi="Times New Roman" w:eastAsia="DFKai-SB"/>
          <w:szCs w:val="24"/>
        </w:rPr>
      </w:pPr>
    </w:p>
    <w:p>
      <w:pPr>
        <w:pStyle w:val="5"/>
        <w:numPr>
          <w:ilvl w:val="0"/>
          <w:numId w:val="1"/>
        </w:numPr>
        <w:snapToGrid w:val="0"/>
        <w:jc w:val="both"/>
        <w:rPr>
          <w:rFonts w:ascii="Times New Roman" w:hAnsi="Times New Roman" w:eastAsia="DFKai-SB"/>
          <w:szCs w:val="24"/>
        </w:rPr>
      </w:pPr>
      <w:r>
        <w:rPr>
          <w:rFonts w:hint="eastAsia" w:eastAsia="DFKai-SB"/>
          <w:bCs/>
          <w:color w:val="231F20"/>
          <w:spacing w:val="4"/>
        </w:rPr>
        <w:t>華魯投資</w:t>
      </w:r>
      <w:r>
        <w:rPr>
          <w:rFonts w:eastAsia="DFKai-SB"/>
          <w:bCs/>
          <w:color w:val="231F20"/>
          <w:spacing w:val="4"/>
        </w:rPr>
        <w:t>;</w:t>
      </w:r>
    </w:p>
    <w:p>
      <w:pPr>
        <w:pStyle w:val="5"/>
        <w:snapToGrid w:val="0"/>
        <w:ind w:left="360"/>
        <w:jc w:val="both"/>
        <w:rPr>
          <w:rFonts w:ascii="Times New Roman" w:hAnsi="Times New Roman" w:eastAsia="DFKai-SB"/>
          <w:szCs w:val="24"/>
        </w:rPr>
      </w:pPr>
    </w:p>
    <w:p>
      <w:pPr>
        <w:pStyle w:val="5"/>
        <w:numPr>
          <w:ilvl w:val="0"/>
          <w:numId w:val="1"/>
        </w:numPr>
        <w:snapToGrid w:val="0"/>
        <w:jc w:val="both"/>
        <w:rPr>
          <w:rFonts w:eastAsia="DFKai-SB"/>
          <w:bCs/>
          <w:color w:val="231F20"/>
          <w:spacing w:val="4"/>
          <w:lang w:eastAsia="zh-HK"/>
        </w:rPr>
      </w:pPr>
      <w:r>
        <w:rPr>
          <w:rFonts w:hint="eastAsia" w:eastAsia="DFKai-SB"/>
          <w:bCs/>
          <w:color w:val="231F20"/>
          <w:spacing w:val="4"/>
        </w:rPr>
        <w:t>華啟創聯；</w:t>
      </w:r>
    </w:p>
    <w:p>
      <w:pPr>
        <w:pStyle w:val="5"/>
        <w:snapToGrid w:val="0"/>
        <w:jc w:val="both"/>
        <w:rPr>
          <w:rFonts w:ascii="Times New Roman" w:hAnsi="Times New Roman" w:eastAsia="DFKai-SB"/>
          <w:szCs w:val="24"/>
        </w:rPr>
      </w:pPr>
    </w:p>
    <w:p>
      <w:pPr>
        <w:pStyle w:val="5"/>
        <w:numPr>
          <w:ilvl w:val="0"/>
          <w:numId w:val="1"/>
        </w:numPr>
        <w:snapToGrid w:val="0"/>
        <w:jc w:val="both"/>
        <w:rPr>
          <w:rFonts w:ascii="Times New Roman" w:hAnsi="Times New Roman" w:eastAsia="DFKai-SB"/>
          <w:szCs w:val="24"/>
        </w:rPr>
      </w:pPr>
      <w:r>
        <w:rPr>
          <w:rFonts w:hint="eastAsia" w:eastAsia="DFKai-SB"/>
          <w:bCs/>
          <w:color w:val="231F20"/>
          <w:spacing w:val="4"/>
        </w:rPr>
        <w:t>海南鑫壘</w:t>
      </w:r>
      <w:r>
        <w:rPr>
          <w:rFonts w:eastAsia="DFKai-SB"/>
          <w:bCs/>
          <w:color w:val="231F20"/>
          <w:spacing w:val="4"/>
        </w:rPr>
        <w:t>;</w:t>
      </w:r>
      <w:r>
        <w:rPr>
          <w:rFonts w:hint="eastAsia" w:eastAsia="DFKai-SB"/>
          <w:bCs/>
          <w:color w:val="231F20"/>
          <w:spacing w:val="4"/>
        </w:rPr>
        <w:t>及</w:t>
      </w:r>
    </w:p>
    <w:p>
      <w:pPr>
        <w:pStyle w:val="5"/>
        <w:snapToGrid w:val="0"/>
        <w:ind w:left="360"/>
        <w:jc w:val="both"/>
        <w:rPr>
          <w:rFonts w:ascii="Times New Roman" w:hAnsi="Times New Roman" w:eastAsia="DFKai-SB"/>
          <w:szCs w:val="24"/>
        </w:rPr>
      </w:pPr>
    </w:p>
    <w:p>
      <w:pPr>
        <w:pStyle w:val="5"/>
        <w:numPr>
          <w:ilvl w:val="0"/>
          <w:numId w:val="1"/>
        </w:numPr>
        <w:snapToGrid w:val="0"/>
        <w:jc w:val="both"/>
        <w:rPr>
          <w:rFonts w:ascii="Times New Roman" w:hAnsi="Times New Roman" w:eastAsia="DFKai-SB"/>
          <w:szCs w:val="24"/>
        </w:rPr>
      </w:pPr>
      <w:r>
        <w:rPr>
          <w:rFonts w:hint="eastAsia" w:eastAsia="DFKai-SB"/>
          <w:bCs/>
          <w:color w:val="231F20"/>
          <w:spacing w:val="4"/>
        </w:rPr>
        <w:t>北京德而信。</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i/>
          <w:szCs w:val="24"/>
        </w:rPr>
      </w:pPr>
      <w:r>
        <w:rPr>
          <w:rFonts w:hint="eastAsia" w:eastAsia="DFKai-SB"/>
        </w:rPr>
        <w:t>經作出一切合理查詢後，就本公司董事所知所信，除</w:t>
      </w:r>
      <w:r>
        <w:rPr>
          <w:rFonts w:hint="eastAsia" w:eastAsia="DFKai-SB"/>
          <w:bCs/>
          <w:color w:val="231F20"/>
          <w:spacing w:val="4"/>
        </w:rPr>
        <w:t>華魯投資</w:t>
      </w:r>
      <w:r>
        <w:rPr>
          <w:rFonts w:hint="eastAsia" w:eastAsia="DFKai-SB"/>
        </w:rPr>
        <w:t>外，其他投資方及其各自的最終實益擁有人均為獨立於本公司及其關連人士的第三方。</w:t>
      </w:r>
    </w:p>
    <w:p>
      <w:pPr>
        <w:pStyle w:val="5"/>
        <w:snapToGrid w:val="0"/>
        <w:jc w:val="both"/>
        <w:rPr>
          <w:rFonts w:ascii="Times New Roman" w:hAnsi="Times New Roman" w:eastAsia="DFKai-SB"/>
          <w:b/>
          <w:szCs w:val="24"/>
        </w:rPr>
      </w:pPr>
      <w:r>
        <w:rPr>
          <w:rFonts w:hint="eastAsia" w:ascii="Times New Roman" w:hAnsi="Times New Roman" w:eastAsia="DFKai-SB"/>
          <w:b/>
          <w:bCs/>
          <w:color w:val="231F20"/>
          <w:spacing w:val="4"/>
          <w:szCs w:val="24"/>
        </w:rPr>
        <w:t>新華健康</w:t>
      </w:r>
      <w:r>
        <w:rPr>
          <w:rFonts w:hint="eastAsia" w:ascii="Times New Roman" w:hAnsi="Times New Roman" w:eastAsia="DFKai-SB"/>
          <w:b/>
          <w:szCs w:val="24"/>
        </w:rPr>
        <w:t>的股權認購</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hint="eastAsia" w:ascii="Times New Roman" w:hAnsi="Times New Roman" w:eastAsia="DFKai-SB"/>
          <w:szCs w:val="24"/>
        </w:rPr>
        <w:t>眾投資方的認購額和在新華健康註冊資本中的權益比例如下</w:t>
      </w:r>
      <w:r>
        <w:rPr>
          <w:rFonts w:ascii="Times New Roman" w:hAnsi="Times New Roman" w:eastAsia="DFKai-SB"/>
          <w:szCs w:val="24"/>
        </w:rPr>
        <w:t>:</w:t>
      </w:r>
    </w:p>
    <w:p>
      <w:pPr>
        <w:pStyle w:val="5"/>
        <w:snapToGrid w:val="0"/>
        <w:jc w:val="both"/>
        <w:rPr>
          <w:rFonts w:ascii="Times New Roman" w:hAnsi="Times New Roman" w:eastAsia="DFKai-SB"/>
          <w:szCs w:val="24"/>
        </w:rPr>
      </w:pPr>
    </w:p>
    <w:tbl>
      <w:tblPr>
        <w:tblStyle w:val="16"/>
        <w:tblW w:w="83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322"/>
        <w:gridCol w:w="2403"/>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blHeader/>
        </w:trPr>
        <w:tc>
          <w:tcPr>
            <w:tcW w:w="818" w:type="dxa"/>
            <w:vAlign w:val="center"/>
          </w:tcPr>
          <w:p>
            <w:pPr>
              <w:adjustRightInd w:val="0"/>
              <w:snapToGrid w:val="0"/>
              <w:ind w:right="-108"/>
              <w:jc w:val="center"/>
              <w:rPr>
                <w:rFonts w:eastAsia="DFKai-SB"/>
                <w:b/>
              </w:rPr>
            </w:pPr>
            <w:r>
              <w:rPr>
                <w:rFonts w:hint="eastAsia" w:eastAsia="DFKai-SB"/>
                <w:b/>
              </w:rPr>
              <w:t>序號</w:t>
            </w:r>
          </w:p>
        </w:tc>
        <w:tc>
          <w:tcPr>
            <w:tcW w:w="3322" w:type="dxa"/>
            <w:vAlign w:val="center"/>
          </w:tcPr>
          <w:p>
            <w:pPr>
              <w:adjustRightInd w:val="0"/>
              <w:snapToGrid w:val="0"/>
              <w:ind w:right="34"/>
              <w:jc w:val="center"/>
              <w:rPr>
                <w:rFonts w:eastAsia="DFKai-SB"/>
                <w:b/>
              </w:rPr>
            </w:pPr>
            <w:r>
              <w:rPr>
                <w:rFonts w:hint="eastAsia" w:eastAsia="DFKai-SB"/>
                <w:b/>
              </w:rPr>
              <w:t>投資方名稱</w:t>
            </w:r>
          </w:p>
        </w:tc>
        <w:tc>
          <w:tcPr>
            <w:tcW w:w="2403" w:type="dxa"/>
            <w:vAlign w:val="center"/>
          </w:tcPr>
          <w:p>
            <w:pPr>
              <w:adjustRightInd w:val="0"/>
              <w:snapToGrid w:val="0"/>
              <w:ind w:right="34"/>
              <w:jc w:val="center"/>
              <w:rPr>
                <w:rFonts w:eastAsia="DFKai-SB"/>
                <w:b/>
              </w:rPr>
            </w:pPr>
            <w:r>
              <w:rPr>
                <w:rFonts w:hint="eastAsia" w:eastAsia="DFKai-SB"/>
                <w:b/>
              </w:rPr>
              <w:t>認繳額</w:t>
            </w:r>
          </w:p>
          <w:p>
            <w:pPr>
              <w:adjustRightInd w:val="0"/>
              <w:snapToGrid w:val="0"/>
              <w:ind w:right="34"/>
              <w:jc w:val="center"/>
              <w:rPr>
                <w:rFonts w:eastAsia="DFKai-SB"/>
                <w:b/>
              </w:rPr>
            </w:pPr>
            <w:r>
              <w:rPr>
                <w:rFonts w:hint="eastAsia" w:eastAsia="DFKai-SB"/>
                <w:b/>
              </w:rPr>
              <w:t>（人民幣萬元）</w:t>
            </w:r>
          </w:p>
        </w:tc>
        <w:tc>
          <w:tcPr>
            <w:tcW w:w="1846" w:type="dxa"/>
            <w:vAlign w:val="center"/>
          </w:tcPr>
          <w:p>
            <w:pPr>
              <w:adjustRightInd w:val="0"/>
              <w:snapToGrid w:val="0"/>
              <w:ind w:right="34"/>
              <w:jc w:val="center"/>
              <w:rPr>
                <w:rFonts w:eastAsia="DFKai-SB"/>
                <w:b/>
              </w:rPr>
            </w:pPr>
            <w:r>
              <w:rPr>
                <w:rFonts w:hint="eastAsia" w:eastAsia="DFKai-SB"/>
                <w:b/>
              </w:rPr>
              <w:t>股權比例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18" w:type="dxa"/>
            <w:vAlign w:val="center"/>
          </w:tcPr>
          <w:p>
            <w:pPr>
              <w:adjustRightInd w:val="0"/>
              <w:snapToGrid w:val="0"/>
              <w:ind w:right="-108"/>
              <w:jc w:val="center"/>
              <w:rPr>
                <w:szCs w:val="21"/>
              </w:rPr>
            </w:pPr>
            <w:r>
              <w:rPr>
                <w:szCs w:val="21"/>
              </w:rPr>
              <w:t>1</w:t>
            </w:r>
          </w:p>
        </w:tc>
        <w:tc>
          <w:tcPr>
            <w:tcW w:w="3322" w:type="dxa"/>
            <w:vAlign w:val="center"/>
          </w:tcPr>
          <w:p>
            <w:pPr>
              <w:pStyle w:val="5"/>
              <w:snapToGrid w:val="0"/>
              <w:jc w:val="center"/>
              <w:rPr>
                <w:rFonts w:ascii="Times New Roman" w:hAnsi="Times New Roman"/>
                <w:sz w:val="22"/>
              </w:rPr>
            </w:pPr>
            <w:r>
              <w:rPr>
                <w:rFonts w:hint="eastAsia" w:ascii="Times New Roman" w:hAnsi="Times New Roman" w:eastAsia="DFKai-SB"/>
                <w:szCs w:val="24"/>
              </w:rPr>
              <w:t>本公司</w:t>
            </w:r>
          </w:p>
        </w:tc>
        <w:tc>
          <w:tcPr>
            <w:tcW w:w="2403" w:type="dxa"/>
            <w:vAlign w:val="center"/>
          </w:tcPr>
          <w:p>
            <w:pPr>
              <w:adjustRightInd w:val="0"/>
              <w:snapToGrid w:val="0"/>
              <w:ind w:right="-8"/>
              <w:jc w:val="center"/>
              <w:rPr>
                <w:szCs w:val="21"/>
              </w:rPr>
            </w:pPr>
            <w:r>
              <w:rPr>
                <w:szCs w:val="21"/>
              </w:rPr>
              <w:t>4,900</w:t>
            </w:r>
          </w:p>
        </w:tc>
        <w:tc>
          <w:tcPr>
            <w:tcW w:w="1846" w:type="dxa"/>
            <w:vAlign w:val="center"/>
          </w:tcPr>
          <w:p>
            <w:pPr>
              <w:adjustRightInd w:val="0"/>
              <w:snapToGrid w:val="0"/>
              <w:jc w:val="center"/>
              <w:rPr>
                <w:szCs w:val="21"/>
              </w:rPr>
            </w:pPr>
            <w:r>
              <w:rPr>
                <w:szCs w:val="21"/>
              </w:rPr>
              <w:t>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18" w:type="dxa"/>
            <w:vAlign w:val="center"/>
          </w:tcPr>
          <w:p>
            <w:pPr>
              <w:adjustRightInd w:val="0"/>
              <w:snapToGrid w:val="0"/>
              <w:ind w:right="-108"/>
              <w:jc w:val="center"/>
              <w:rPr>
                <w:szCs w:val="21"/>
              </w:rPr>
            </w:pPr>
            <w:r>
              <w:rPr>
                <w:szCs w:val="21"/>
              </w:rPr>
              <w:t>2</w:t>
            </w:r>
          </w:p>
        </w:tc>
        <w:tc>
          <w:tcPr>
            <w:tcW w:w="3322" w:type="dxa"/>
            <w:vAlign w:val="center"/>
          </w:tcPr>
          <w:p>
            <w:pPr>
              <w:adjustRightInd w:val="0"/>
              <w:snapToGrid w:val="0"/>
              <w:ind w:right="-8"/>
              <w:jc w:val="center"/>
              <w:rPr>
                <w:szCs w:val="21"/>
              </w:rPr>
            </w:pPr>
            <w:r>
              <w:rPr>
                <w:rFonts w:hint="eastAsia" w:eastAsia="DFKai-SB"/>
                <w:bCs/>
                <w:color w:val="231F20"/>
                <w:spacing w:val="4"/>
              </w:rPr>
              <w:t>華魯投資</w:t>
            </w:r>
          </w:p>
        </w:tc>
        <w:tc>
          <w:tcPr>
            <w:tcW w:w="2403" w:type="dxa"/>
            <w:vAlign w:val="center"/>
          </w:tcPr>
          <w:p>
            <w:pPr>
              <w:adjustRightInd w:val="0"/>
              <w:snapToGrid w:val="0"/>
              <w:ind w:right="-8"/>
              <w:jc w:val="center"/>
              <w:rPr>
                <w:szCs w:val="21"/>
              </w:rPr>
            </w:pPr>
            <w:r>
              <w:rPr>
                <w:szCs w:val="21"/>
              </w:rPr>
              <w:t>600</w:t>
            </w:r>
          </w:p>
        </w:tc>
        <w:tc>
          <w:tcPr>
            <w:tcW w:w="1846" w:type="dxa"/>
            <w:vAlign w:val="center"/>
          </w:tcPr>
          <w:p>
            <w:pPr>
              <w:adjustRightInd w:val="0"/>
              <w:snapToGrid w:val="0"/>
              <w:jc w:val="center"/>
              <w:rPr>
                <w:szCs w:val="21"/>
              </w:rPr>
            </w:pPr>
            <w:r>
              <w:rPr>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818" w:type="dxa"/>
            <w:vAlign w:val="center"/>
          </w:tcPr>
          <w:p>
            <w:pPr>
              <w:adjustRightInd w:val="0"/>
              <w:snapToGrid w:val="0"/>
              <w:ind w:right="-108"/>
              <w:jc w:val="center"/>
              <w:rPr>
                <w:rFonts w:eastAsia="宋体"/>
                <w:szCs w:val="21"/>
                <w:lang w:eastAsia="zh-CN"/>
              </w:rPr>
            </w:pPr>
            <w:r>
              <w:rPr>
                <w:szCs w:val="21"/>
              </w:rPr>
              <w:t>3</w:t>
            </w:r>
          </w:p>
        </w:tc>
        <w:tc>
          <w:tcPr>
            <w:tcW w:w="3322" w:type="dxa"/>
            <w:vAlign w:val="center"/>
          </w:tcPr>
          <w:p>
            <w:pPr>
              <w:adjustRightInd w:val="0"/>
              <w:snapToGrid w:val="0"/>
              <w:ind w:right="-8"/>
              <w:jc w:val="center"/>
              <w:rPr>
                <w:rFonts w:eastAsia="DFKai-SB"/>
                <w:bCs/>
                <w:color w:val="231F20"/>
                <w:spacing w:val="4"/>
                <w:lang w:eastAsia="zh-HK"/>
              </w:rPr>
            </w:pPr>
            <w:r>
              <w:rPr>
                <w:rFonts w:hint="eastAsia" w:hAnsi="Courier New" w:eastAsia="DFKai-SB"/>
                <w:bCs/>
                <w:color w:val="231F20"/>
                <w:spacing w:val="4"/>
              </w:rPr>
              <w:t>華啟創聯</w:t>
            </w:r>
          </w:p>
        </w:tc>
        <w:tc>
          <w:tcPr>
            <w:tcW w:w="2403" w:type="dxa"/>
            <w:vAlign w:val="center"/>
          </w:tcPr>
          <w:p>
            <w:pPr>
              <w:adjustRightInd w:val="0"/>
              <w:snapToGrid w:val="0"/>
              <w:ind w:right="-8"/>
              <w:jc w:val="center"/>
              <w:rPr>
                <w:rFonts w:eastAsia="宋体"/>
                <w:szCs w:val="21"/>
                <w:lang w:eastAsia="zh-CN"/>
              </w:rPr>
            </w:pPr>
            <w:r>
              <w:rPr>
                <w:szCs w:val="21"/>
              </w:rPr>
              <w:t>2,000</w:t>
            </w:r>
          </w:p>
        </w:tc>
        <w:tc>
          <w:tcPr>
            <w:tcW w:w="1846" w:type="dxa"/>
            <w:vAlign w:val="center"/>
          </w:tcPr>
          <w:p>
            <w:pPr>
              <w:adjustRightInd w:val="0"/>
              <w:snapToGrid w:val="0"/>
              <w:jc w:val="center"/>
              <w:rPr>
                <w:rFonts w:eastAsia="宋体"/>
                <w:szCs w:val="21"/>
                <w:lang w:eastAsia="zh-CN"/>
              </w:rPr>
            </w:pPr>
            <w:r>
              <w:rPr>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18" w:type="dxa"/>
            <w:vAlign w:val="center"/>
          </w:tcPr>
          <w:p>
            <w:pPr>
              <w:adjustRightInd w:val="0"/>
              <w:snapToGrid w:val="0"/>
              <w:ind w:right="-108"/>
              <w:jc w:val="center"/>
              <w:rPr>
                <w:szCs w:val="21"/>
              </w:rPr>
            </w:pPr>
            <w:r>
              <w:rPr>
                <w:szCs w:val="21"/>
              </w:rPr>
              <w:t>4</w:t>
            </w:r>
          </w:p>
        </w:tc>
        <w:tc>
          <w:tcPr>
            <w:tcW w:w="3322" w:type="dxa"/>
            <w:vAlign w:val="center"/>
          </w:tcPr>
          <w:p>
            <w:pPr>
              <w:adjustRightInd w:val="0"/>
              <w:snapToGrid w:val="0"/>
              <w:ind w:right="-8"/>
              <w:jc w:val="center"/>
              <w:rPr>
                <w:szCs w:val="21"/>
              </w:rPr>
            </w:pPr>
            <w:r>
              <w:rPr>
                <w:rFonts w:hint="eastAsia" w:eastAsia="DFKai-SB"/>
                <w:bCs/>
                <w:color w:val="231F20"/>
                <w:spacing w:val="4"/>
              </w:rPr>
              <w:t>海南鑫壘</w:t>
            </w:r>
          </w:p>
        </w:tc>
        <w:tc>
          <w:tcPr>
            <w:tcW w:w="2403" w:type="dxa"/>
            <w:vAlign w:val="center"/>
          </w:tcPr>
          <w:p>
            <w:pPr>
              <w:adjustRightInd w:val="0"/>
              <w:snapToGrid w:val="0"/>
              <w:jc w:val="center"/>
              <w:rPr>
                <w:szCs w:val="21"/>
              </w:rPr>
            </w:pPr>
            <w:r>
              <w:rPr>
                <w:szCs w:val="21"/>
              </w:rPr>
              <w:t>2,000</w:t>
            </w:r>
          </w:p>
        </w:tc>
        <w:tc>
          <w:tcPr>
            <w:tcW w:w="1846" w:type="dxa"/>
            <w:vAlign w:val="center"/>
          </w:tcPr>
          <w:p>
            <w:pPr>
              <w:adjustRightInd w:val="0"/>
              <w:snapToGrid w:val="0"/>
              <w:jc w:val="center"/>
              <w:rPr>
                <w:szCs w:val="21"/>
              </w:rPr>
            </w:pPr>
            <w:r>
              <w:rPr>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18" w:type="dxa"/>
            <w:vAlign w:val="center"/>
          </w:tcPr>
          <w:p>
            <w:pPr>
              <w:adjustRightInd w:val="0"/>
              <w:snapToGrid w:val="0"/>
              <w:ind w:right="-108"/>
              <w:jc w:val="center"/>
              <w:rPr>
                <w:szCs w:val="21"/>
              </w:rPr>
            </w:pPr>
            <w:r>
              <w:rPr>
                <w:szCs w:val="21"/>
              </w:rPr>
              <w:t>5</w:t>
            </w:r>
          </w:p>
        </w:tc>
        <w:tc>
          <w:tcPr>
            <w:tcW w:w="3322" w:type="dxa"/>
            <w:vAlign w:val="center"/>
          </w:tcPr>
          <w:p>
            <w:pPr>
              <w:adjustRightInd w:val="0"/>
              <w:snapToGrid w:val="0"/>
              <w:ind w:right="-8"/>
              <w:jc w:val="center"/>
              <w:rPr>
                <w:szCs w:val="21"/>
              </w:rPr>
            </w:pPr>
            <w:r>
              <w:rPr>
                <w:rFonts w:hint="eastAsia" w:eastAsia="DFKai-SB"/>
                <w:bCs/>
                <w:color w:val="231F20"/>
                <w:spacing w:val="4"/>
              </w:rPr>
              <w:t>北京德而信</w:t>
            </w:r>
          </w:p>
        </w:tc>
        <w:tc>
          <w:tcPr>
            <w:tcW w:w="2403" w:type="dxa"/>
            <w:vAlign w:val="center"/>
          </w:tcPr>
          <w:p>
            <w:pPr>
              <w:adjustRightInd w:val="0"/>
              <w:snapToGrid w:val="0"/>
              <w:jc w:val="center"/>
              <w:rPr>
                <w:szCs w:val="21"/>
              </w:rPr>
            </w:pPr>
            <w:r>
              <w:rPr>
                <w:szCs w:val="21"/>
              </w:rPr>
              <w:t>500</w:t>
            </w:r>
          </w:p>
        </w:tc>
        <w:tc>
          <w:tcPr>
            <w:tcW w:w="1846" w:type="dxa"/>
            <w:vAlign w:val="center"/>
          </w:tcPr>
          <w:p>
            <w:pPr>
              <w:adjustRightInd w:val="0"/>
              <w:snapToGrid w:val="0"/>
              <w:jc w:val="center"/>
              <w:rPr>
                <w:szCs w:val="21"/>
              </w:rPr>
            </w:pPr>
            <w:r>
              <w:rPr>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18" w:type="dxa"/>
            <w:vAlign w:val="center"/>
          </w:tcPr>
          <w:p>
            <w:pPr>
              <w:adjustRightInd w:val="0"/>
              <w:snapToGrid w:val="0"/>
              <w:ind w:right="-108"/>
              <w:jc w:val="center"/>
              <w:rPr>
                <w:b/>
                <w:szCs w:val="21"/>
              </w:rPr>
            </w:pPr>
          </w:p>
        </w:tc>
        <w:tc>
          <w:tcPr>
            <w:tcW w:w="3322" w:type="dxa"/>
            <w:vAlign w:val="center"/>
          </w:tcPr>
          <w:p>
            <w:pPr>
              <w:adjustRightInd w:val="0"/>
              <w:snapToGrid w:val="0"/>
              <w:ind w:right="-8"/>
              <w:jc w:val="center"/>
              <w:rPr>
                <w:b/>
                <w:szCs w:val="21"/>
              </w:rPr>
            </w:pPr>
            <w:r>
              <w:rPr>
                <w:rFonts w:hint="eastAsia" w:eastAsia="DFKai-SB"/>
                <w:b/>
                <w:bCs/>
                <w:color w:val="231F20"/>
                <w:spacing w:val="4"/>
              </w:rPr>
              <w:t>合計</w:t>
            </w:r>
          </w:p>
        </w:tc>
        <w:tc>
          <w:tcPr>
            <w:tcW w:w="2403" w:type="dxa"/>
            <w:vAlign w:val="center"/>
          </w:tcPr>
          <w:p>
            <w:pPr>
              <w:adjustRightInd w:val="0"/>
              <w:snapToGrid w:val="0"/>
              <w:ind w:right="-8"/>
              <w:jc w:val="center"/>
              <w:rPr>
                <w:b/>
                <w:szCs w:val="21"/>
              </w:rPr>
            </w:pPr>
            <w:r>
              <w:rPr>
                <w:b/>
                <w:szCs w:val="21"/>
              </w:rPr>
              <w:t>10,000</w:t>
            </w:r>
          </w:p>
        </w:tc>
        <w:tc>
          <w:tcPr>
            <w:tcW w:w="1846" w:type="dxa"/>
            <w:vAlign w:val="center"/>
          </w:tcPr>
          <w:p>
            <w:pPr>
              <w:adjustRightInd w:val="0"/>
              <w:snapToGrid w:val="0"/>
              <w:jc w:val="center"/>
              <w:rPr>
                <w:b/>
                <w:szCs w:val="21"/>
              </w:rPr>
            </w:pPr>
            <w:r>
              <w:rPr>
                <w:b/>
                <w:szCs w:val="21"/>
              </w:rPr>
              <w:t>100%</w:t>
            </w:r>
          </w:p>
        </w:tc>
      </w:tr>
    </w:tbl>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繳付條款</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szCs w:val="24"/>
        </w:rPr>
      </w:pPr>
      <w:r>
        <w:rPr>
          <w:rFonts w:hint="eastAsia" w:ascii="Times New Roman" w:hAnsi="Times New Roman" w:eastAsia="DFKai-SB"/>
          <w:szCs w:val="24"/>
        </w:rPr>
        <w:t>根據投資協議，新華健康的註冊資本將</w:t>
      </w:r>
      <w:r>
        <w:rPr>
          <w:rFonts w:hint="eastAsia" w:ascii="Times New Roman" w:hAnsi="Times New Roman" w:eastAsia="DFKai-SB"/>
          <w:szCs w:val="24"/>
          <w:lang w:eastAsia="zh-HK"/>
        </w:rPr>
        <w:t>按以下方式支付</w:t>
      </w:r>
      <w:r>
        <w:rPr>
          <w:rFonts w:hint="eastAsia" w:ascii="Times New Roman" w:hAnsi="Times New Roman" w:eastAsia="DFKai-SB"/>
          <w:szCs w:val="24"/>
        </w:rPr>
        <w:t>:</w:t>
      </w:r>
    </w:p>
    <w:p>
      <w:pPr>
        <w:pStyle w:val="5"/>
        <w:numPr>
          <w:ilvl w:val="0"/>
          <w:numId w:val="2"/>
        </w:numPr>
        <w:snapToGrid w:val="0"/>
        <w:ind w:hanging="720"/>
        <w:jc w:val="both"/>
        <w:rPr>
          <w:rFonts w:ascii="Times New Roman" w:hAnsi="Times New Roman" w:eastAsia="DFKai-SB"/>
          <w:szCs w:val="24"/>
        </w:rPr>
      </w:pPr>
      <w:r>
        <w:rPr>
          <w:rFonts w:hint="eastAsia" w:ascii="Times New Roman" w:hAnsi="Times New Roman" w:eastAsia="DFKai-SB"/>
          <w:szCs w:val="24"/>
        </w:rPr>
        <w:t>本公司以現金</w:t>
      </w:r>
      <w:r>
        <w:rPr>
          <w:rFonts w:hint="eastAsia" w:ascii="Times New Roman" w:hAnsi="Times New Roman" w:eastAsia="DFKai-SB"/>
          <w:szCs w:val="24"/>
          <w:lang w:eastAsia="zh-HK"/>
        </w:rPr>
        <w:t>人</w:t>
      </w:r>
      <w:r>
        <w:rPr>
          <w:rFonts w:hint="eastAsia" w:ascii="Times New Roman" w:hAnsi="Times New Roman" w:eastAsia="DFKai-SB"/>
          <w:szCs w:val="24"/>
        </w:rPr>
        <w:t>民</w:t>
      </w:r>
      <w:r>
        <w:rPr>
          <w:rFonts w:hint="eastAsia" w:ascii="Times New Roman" w:hAnsi="Times New Roman" w:eastAsia="DFKai-SB"/>
          <w:szCs w:val="24"/>
          <w:lang w:eastAsia="zh-HK"/>
        </w:rPr>
        <w:t>幣</w:t>
      </w:r>
      <w:r>
        <w:rPr>
          <w:rFonts w:hint="eastAsia" w:ascii="Times New Roman" w:hAnsi="Times New Roman" w:eastAsia="DFKai-SB"/>
          <w:szCs w:val="24"/>
        </w:rPr>
        <w:t>2,479.88</w:t>
      </w:r>
      <w:r>
        <w:rPr>
          <w:rFonts w:hint="eastAsia" w:ascii="Times New Roman" w:hAnsi="Times New Roman" w:eastAsia="DFKai-SB"/>
          <w:szCs w:val="24"/>
          <w:lang w:eastAsia="zh-HK"/>
        </w:rPr>
        <w:t>萬元</w:t>
      </w:r>
      <w:r>
        <w:rPr>
          <w:rFonts w:hint="eastAsia" w:ascii="Times New Roman" w:hAnsi="Times New Roman" w:eastAsia="DFKai-SB"/>
          <w:szCs w:val="24"/>
        </w:rPr>
        <w:t>及資產</w:t>
      </w:r>
      <w:r>
        <w:rPr>
          <w:rFonts w:hint="eastAsia" w:ascii="Times New Roman" w:hAnsi="Times New Roman" w:eastAsia="DFKai-SB"/>
          <w:szCs w:val="24"/>
          <w:lang w:eastAsia="zh-HK"/>
        </w:rPr>
        <w:t>人</w:t>
      </w:r>
      <w:r>
        <w:rPr>
          <w:rFonts w:hint="eastAsia" w:ascii="Times New Roman" w:hAnsi="Times New Roman" w:eastAsia="DFKai-SB"/>
          <w:szCs w:val="24"/>
        </w:rPr>
        <w:t>民</w:t>
      </w:r>
      <w:r>
        <w:rPr>
          <w:rFonts w:hint="eastAsia" w:ascii="Times New Roman" w:hAnsi="Times New Roman" w:eastAsia="DFKai-SB"/>
          <w:szCs w:val="24"/>
          <w:lang w:eastAsia="zh-HK"/>
        </w:rPr>
        <w:t>幣</w:t>
      </w:r>
      <w:r>
        <w:rPr>
          <w:rFonts w:hint="eastAsia" w:ascii="Times New Roman" w:hAnsi="Times New Roman" w:eastAsia="DFKai-SB"/>
          <w:szCs w:val="24"/>
        </w:rPr>
        <w:t>2,420.12</w:t>
      </w:r>
      <w:r>
        <w:rPr>
          <w:rFonts w:hint="eastAsia" w:ascii="Times New Roman" w:hAnsi="Times New Roman" w:eastAsia="DFKai-SB"/>
          <w:szCs w:val="24"/>
          <w:lang w:eastAsia="zh-HK"/>
        </w:rPr>
        <w:t xml:space="preserve">萬元 </w:t>
      </w:r>
      <w:r>
        <w:rPr>
          <w:rFonts w:ascii="Times New Roman" w:hAnsi="Times New Roman" w:eastAsia="DFKai-SB"/>
          <w:bCs/>
          <w:color w:val="231F20"/>
          <w:spacing w:val="4"/>
          <w:szCs w:val="24"/>
        </w:rPr>
        <w:t>(</w:t>
      </w:r>
      <w:r>
        <w:rPr>
          <w:rFonts w:hint="eastAsia" w:eastAsia="DFKai-SB"/>
          <w:bCs/>
          <w:color w:val="231F20"/>
          <w:spacing w:val="4"/>
        </w:rPr>
        <w:t>「</w:t>
      </w:r>
      <w:r>
        <w:rPr>
          <w:rFonts w:hint="eastAsia" w:eastAsia="DFKai-SB"/>
          <w:b/>
          <w:bCs/>
          <w:color w:val="231F20"/>
          <w:spacing w:val="4"/>
          <w:lang w:eastAsia="zh-HK"/>
        </w:rPr>
        <w:t>資產代價</w:t>
      </w:r>
      <w:r>
        <w:rPr>
          <w:rFonts w:hint="eastAsia" w:eastAsia="DFKai-SB"/>
          <w:bCs/>
          <w:color w:val="231F20"/>
          <w:spacing w:val="4"/>
        </w:rPr>
        <w:t>」</w:t>
      </w:r>
      <w:r>
        <w:rPr>
          <w:rFonts w:ascii="Times New Roman" w:hAnsi="Times New Roman" w:eastAsia="DFKai-SB"/>
          <w:bCs/>
          <w:color w:val="231F20"/>
          <w:spacing w:val="4"/>
          <w:szCs w:val="24"/>
        </w:rPr>
        <w:t>)</w:t>
      </w:r>
      <w:r>
        <w:rPr>
          <w:rFonts w:hint="eastAsia" w:ascii="Times New Roman" w:hAnsi="Times New Roman" w:eastAsia="DFKai-SB"/>
          <w:szCs w:val="24"/>
        </w:rPr>
        <w:t>支付</w:t>
      </w:r>
      <w:r>
        <w:rPr>
          <w:rFonts w:ascii="Times New Roman" w:hAnsi="Times New Roman" w:eastAsia="DFKai-SB"/>
          <w:szCs w:val="24"/>
        </w:rPr>
        <w:t xml:space="preserve">; </w:t>
      </w:r>
      <w:r>
        <w:rPr>
          <w:rFonts w:hint="eastAsia" w:ascii="Times New Roman" w:hAnsi="Times New Roman" w:eastAsia="DFKai-SB"/>
          <w:szCs w:val="24"/>
        </w:rPr>
        <w:t>以及</w:t>
      </w:r>
    </w:p>
    <w:p>
      <w:pPr>
        <w:pStyle w:val="5"/>
        <w:numPr>
          <w:ilvl w:val="0"/>
          <w:numId w:val="2"/>
        </w:numPr>
        <w:snapToGrid w:val="0"/>
        <w:ind w:hanging="720"/>
        <w:jc w:val="both"/>
        <w:rPr>
          <w:rFonts w:ascii="Times New Roman" w:hAnsi="Times New Roman" w:eastAsia="DFKai-SB"/>
          <w:b/>
          <w:szCs w:val="24"/>
        </w:rPr>
      </w:pPr>
      <w:r>
        <w:rPr>
          <w:rFonts w:hint="eastAsia" w:ascii="Times New Roman" w:hAnsi="Times New Roman" w:eastAsia="DFKai-SB"/>
          <w:szCs w:val="24"/>
        </w:rPr>
        <w:t>其餘投資方以現金支付。</w:t>
      </w:r>
    </w:p>
    <w:p>
      <w:pPr>
        <w:pStyle w:val="5"/>
        <w:snapToGrid w:val="0"/>
        <w:jc w:val="both"/>
        <w:rPr>
          <w:rFonts w:ascii="Times New Roman" w:hAnsi="Times New Roman" w:eastAsia="DFKai-SB"/>
          <w:b/>
          <w:szCs w:val="24"/>
        </w:rPr>
      </w:pPr>
    </w:p>
    <w:p>
      <w:pPr>
        <w:pStyle w:val="5"/>
        <w:snapToGrid w:val="0"/>
        <w:jc w:val="both"/>
        <w:rPr>
          <w:rFonts w:ascii="Times New Roman" w:hAnsi="Times New Roman" w:eastAsia="DFKai-SB"/>
          <w:b/>
          <w:szCs w:val="24"/>
          <w:lang w:eastAsia="zh-HK"/>
        </w:rPr>
      </w:pPr>
      <w:r>
        <w:rPr>
          <w:rFonts w:hint="eastAsia" w:ascii="Times New Roman" w:hAnsi="Times New Roman" w:eastAsia="DFKai-SB"/>
          <w:bCs/>
          <w:color w:val="231F20"/>
          <w:spacing w:val="4"/>
          <w:szCs w:val="24"/>
          <w:lang w:eastAsia="zh-HK"/>
        </w:rPr>
        <w:t>公司出資的</w:t>
      </w:r>
      <w:r>
        <w:rPr>
          <w:rFonts w:hint="eastAsia" w:ascii="Times New Roman" w:hAnsi="Times New Roman" w:eastAsia="DFKai-SB"/>
          <w:bCs/>
          <w:color w:val="231F20"/>
          <w:spacing w:val="4"/>
          <w:szCs w:val="24"/>
        </w:rPr>
        <w:t>資產代價</w:t>
      </w:r>
      <w:r>
        <w:rPr>
          <w:rFonts w:hint="eastAsia" w:ascii="Times New Roman" w:hAnsi="Times New Roman" w:eastAsia="DFKai-SB"/>
          <w:bCs/>
          <w:color w:val="231F20"/>
          <w:spacing w:val="4"/>
          <w:szCs w:val="24"/>
          <w:lang w:eastAsia="zh-HK"/>
        </w:rPr>
        <w:t>包括</w:t>
      </w:r>
      <w:r>
        <w:rPr>
          <w:rFonts w:hint="eastAsia" w:ascii="Times New Roman" w:hAnsi="Times New Roman" w:eastAsia="DFKai-SB"/>
          <w:bCs/>
          <w:color w:val="231F20"/>
          <w:spacing w:val="4"/>
          <w:szCs w:val="24"/>
        </w:rPr>
        <w:t>(a)</w:t>
      </w:r>
      <w:r>
        <w:rPr>
          <w:rFonts w:hint="eastAsia" w:ascii="Times New Roman" w:hAnsi="Times New Roman" w:eastAsia="DFKai-SB"/>
          <w:szCs w:val="24"/>
        </w:rPr>
        <w:t>本公司於淄博新華大藥店連鎖有限公司</w:t>
      </w:r>
      <w:r>
        <w:rPr>
          <w:rFonts w:ascii="Times New Roman" w:hAnsi="Times New Roman" w:eastAsia="DFKai-SB"/>
          <w:bCs/>
          <w:color w:val="231F20"/>
          <w:spacing w:val="4"/>
          <w:szCs w:val="24"/>
        </w:rPr>
        <w:t>(</w:t>
      </w:r>
      <w:r>
        <w:rPr>
          <w:rFonts w:hint="eastAsia" w:eastAsia="DFKai-SB"/>
          <w:bCs/>
          <w:color w:val="231F20"/>
          <w:spacing w:val="4"/>
        </w:rPr>
        <w:t>「</w:t>
      </w:r>
      <w:r>
        <w:rPr>
          <w:rFonts w:hint="eastAsia" w:ascii="Times New Roman" w:hAnsi="Times New Roman" w:eastAsia="DFKai-SB"/>
          <w:b/>
          <w:szCs w:val="24"/>
        </w:rPr>
        <w:t>新華大藥店</w:t>
      </w:r>
      <w:r>
        <w:rPr>
          <w:rFonts w:hint="eastAsia" w:eastAsia="DFKai-SB"/>
          <w:bCs/>
          <w:color w:val="231F20"/>
          <w:spacing w:val="4"/>
        </w:rPr>
        <w:t>」</w:t>
      </w:r>
      <w:r>
        <w:rPr>
          <w:rFonts w:ascii="Times New Roman" w:hAnsi="Times New Roman" w:eastAsia="DFKai-SB"/>
          <w:bCs/>
          <w:color w:val="231F20"/>
          <w:spacing w:val="4"/>
          <w:szCs w:val="24"/>
        </w:rPr>
        <w:t>)</w:t>
      </w:r>
      <w:r>
        <w:rPr>
          <w:rFonts w:hint="eastAsia" w:ascii="Times New Roman" w:hAnsi="Times New Roman" w:eastAsia="DFKai-SB"/>
          <w:szCs w:val="24"/>
        </w:rPr>
        <w:t>的</w:t>
      </w:r>
      <w:r>
        <w:rPr>
          <w:rFonts w:hint="eastAsia" w:ascii="Times New Roman" w:hAnsi="Times New Roman" w:eastAsia="DFKai-SB"/>
          <w:szCs w:val="24"/>
          <w:lang w:eastAsia="zh-HK"/>
        </w:rPr>
        <w:t>全部</w:t>
      </w:r>
      <w:r>
        <w:rPr>
          <w:rFonts w:hint="eastAsia" w:ascii="Times New Roman" w:hAnsi="Times New Roman" w:eastAsia="DFKai-SB"/>
          <w:szCs w:val="24"/>
        </w:rPr>
        <w:t>股權</w:t>
      </w:r>
      <w:r>
        <w:rPr>
          <w:rFonts w:hint="eastAsia" w:ascii="Times New Roman" w:hAnsi="Times New Roman" w:eastAsia="DFKai-SB"/>
          <w:szCs w:val="24"/>
          <w:lang w:eastAsia="zh-HK"/>
        </w:rPr>
        <w:t>及</w:t>
      </w:r>
      <w:r>
        <w:rPr>
          <w:rFonts w:ascii="Times New Roman" w:hAnsi="Times New Roman" w:eastAsia="DFKai-SB"/>
          <w:bCs/>
          <w:color w:val="231F20"/>
          <w:spacing w:val="4"/>
          <w:szCs w:val="24"/>
        </w:rPr>
        <w:t>(b)</w:t>
      </w:r>
      <w:r>
        <w:rPr>
          <w:rFonts w:ascii="Times New Roman" w:hAnsi="Times New Roman" w:eastAsia="DFKai-SB"/>
          <w:b/>
          <w:szCs w:val="24"/>
        </w:rPr>
        <w:t xml:space="preserve"> </w:t>
      </w:r>
      <w:r>
        <w:rPr>
          <w:rFonts w:hint="eastAsia" w:ascii="Times New Roman" w:hAnsi="Times New Roman" w:eastAsia="DFKai-SB"/>
          <w:szCs w:val="24"/>
          <w:lang w:eastAsia="zh-HK"/>
        </w:rPr>
        <w:t>本公司的若干電子及辦公室設備，兩者都將注入新華健康</w:t>
      </w:r>
      <w:r>
        <w:rPr>
          <w:rFonts w:ascii="Times New Roman" w:hAnsi="Times New Roman" w:eastAsia="DFKai-SB"/>
          <w:bCs/>
          <w:color w:val="231F20"/>
          <w:spacing w:val="4"/>
          <w:szCs w:val="24"/>
        </w:rPr>
        <w:t>(</w:t>
      </w:r>
      <w:r>
        <w:rPr>
          <w:rFonts w:hint="eastAsia" w:eastAsia="DFKai-SB"/>
          <w:bCs/>
          <w:color w:val="231F20"/>
          <w:spacing w:val="4"/>
        </w:rPr>
        <w:t>統稱為「</w:t>
      </w:r>
      <w:r>
        <w:rPr>
          <w:rFonts w:hint="eastAsia" w:eastAsia="DFKai-SB"/>
          <w:b/>
          <w:bCs/>
          <w:color w:val="231F20"/>
          <w:spacing w:val="4"/>
          <w:lang w:eastAsia="zh-HK"/>
        </w:rPr>
        <w:t>資產注入</w:t>
      </w:r>
      <w:r>
        <w:rPr>
          <w:rFonts w:hint="eastAsia" w:eastAsia="DFKai-SB"/>
          <w:bCs/>
          <w:color w:val="231F20"/>
          <w:spacing w:val="4"/>
        </w:rPr>
        <w:t>」</w:t>
      </w:r>
      <w:r>
        <w:rPr>
          <w:rFonts w:ascii="Times New Roman" w:hAnsi="Times New Roman" w:eastAsia="DFKai-SB"/>
          <w:bCs/>
          <w:color w:val="231F20"/>
          <w:spacing w:val="4"/>
          <w:szCs w:val="24"/>
        </w:rPr>
        <w:t>)</w:t>
      </w:r>
      <w:r>
        <w:rPr>
          <w:rFonts w:hint="eastAsia" w:ascii="Times New Roman" w:hAnsi="Times New Roman" w:eastAsia="DFKai-SB"/>
          <w:bCs/>
          <w:color w:val="231F20"/>
          <w:spacing w:val="4"/>
          <w:szCs w:val="24"/>
          <w:lang w:eastAsia="zh-HK"/>
        </w:rPr>
        <w:t>。</w:t>
      </w:r>
    </w:p>
    <w:p>
      <w:pPr>
        <w:pStyle w:val="5"/>
        <w:snapToGrid w:val="0"/>
        <w:jc w:val="both"/>
        <w:rPr>
          <w:rFonts w:ascii="Times New Roman" w:hAnsi="Times New Roman" w:eastAsia="DFKai-SB"/>
          <w:szCs w:val="24"/>
        </w:rPr>
      </w:pPr>
      <w:r>
        <w:rPr>
          <w:rFonts w:hint="eastAsia" w:ascii="Times New Roman" w:hAnsi="Times New Roman" w:eastAsia="DFKai-SB"/>
          <w:szCs w:val="24"/>
          <w:lang w:eastAsia="zh-HK"/>
        </w:rPr>
        <w:t>根據投資協議，在</w:t>
      </w:r>
      <w:r>
        <w:rPr>
          <w:rFonts w:hint="eastAsia" w:ascii="Times New Roman" w:hAnsi="Times New Roman" w:eastAsia="DFKai-SB"/>
          <w:szCs w:val="24"/>
        </w:rPr>
        <w:t>滿足以下條件</w:t>
      </w:r>
      <w:r>
        <w:rPr>
          <w:rFonts w:hint="eastAsia" w:ascii="Times New Roman" w:hAnsi="Times New Roman" w:eastAsia="DFKai-SB"/>
          <w:szCs w:val="24"/>
          <w:lang w:eastAsia="zh-HK"/>
        </w:rPr>
        <w:t>後</w:t>
      </w:r>
      <w:r>
        <w:rPr>
          <w:rFonts w:hint="eastAsia" w:ascii="Times New Roman" w:hAnsi="Times New Roman" w:eastAsia="DFKai-SB"/>
          <w:szCs w:val="24"/>
        </w:rPr>
        <w:t>：</w:t>
      </w:r>
    </w:p>
    <w:p>
      <w:pPr>
        <w:pStyle w:val="5"/>
        <w:numPr>
          <w:ilvl w:val="0"/>
          <w:numId w:val="3"/>
        </w:numPr>
        <w:snapToGrid w:val="0"/>
        <w:ind w:hanging="720"/>
        <w:jc w:val="both"/>
        <w:rPr>
          <w:rFonts w:ascii="Times New Roman" w:hAnsi="Times New Roman" w:eastAsia="DFKai-SB"/>
          <w:szCs w:val="24"/>
        </w:rPr>
      </w:pPr>
      <w:r>
        <w:rPr>
          <w:rFonts w:hint="eastAsia" w:ascii="Times New Roman" w:hAnsi="Times New Roman" w:eastAsia="DFKai-SB"/>
          <w:szCs w:val="24"/>
        </w:rPr>
        <w:t>新華健康已完成工商註冊登記並領取營業執照；</w:t>
      </w:r>
    </w:p>
    <w:p>
      <w:pPr>
        <w:pStyle w:val="5"/>
        <w:numPr>
          <w:ilvl w:val="0"/>
          <w:numId w:val="3"/>
        </w:numPr>
        <w:snapToGrid w:val="0"/>
        <w:ind w:hanging="720"/>
        <w:jc w:val="both"/>
        <w:rPr>
          <w:rFonts w:ascii="Times New Roman" w:hAnsi="Times New Roman" w:eastAsia="DFKai-SB"/>
          <w:szCs w:val="24"/>
        </w:rPr>
      </w:pPr>
      <w:r>
        <w:rPr>
          <w:rFonts w:hint="eastAsia" w:ascii="Times New Roman" w:hAnsi="Times New Roman" w:eastAsia="DFKai-SB"/>
          <w:szCs w:val="24"/>
        </w:rPr>
        <w:t>新華健康名下的人民幣出資帳戶正式開立；以及</w:t>
      </w:r>
    </w:p>
    <w:p>
      <w:pPr>
        <w:pStyle w:val="5"/>
        <w:numPr>
          <w:ilvl w:val="0"/>
          <w:numId w:val="3"/>
        </w:numPr>
        <w:snapToGrid w:val="0"/>
        <w:ind w:hanging="720"/>
        <w:jc w:val="both"/>
        <w:rPr>
          <w:rFonts w:ascii="Times New Roman" w:hAnsi="Times New Roman" w:eastAsia="DFKai-SB"/>
          <w:szCs w:val="24"/>
        </w:rPr>
      </w:pPr>
      <w:r>
        <w:rPr>
          <w:rFonts w:hint="eastAsia" w:ascii="Times New Roman" w:hAnsi="Times New Roman" w:eastAsia="DFKai-SB"/>
          <w:szCs w:val="24"/>
        </w:rPr>
        <w:t>本公司擬出資資產已委託會計師事務所對資產標的企業進行審計、委託具有相應資質的評估機構對資產標的進行資產評估，且履行相關審批、備案程序，</w:t>
      </w:r>
    </w:p>
    <w:p>
      <w:pPr>
        <w:pStyle w:val="5"/>
        <w:snapToGrid w:val="0"/>
        <w:jc w:val="both"/>
        <w:rPr>
          <w:rFonts w:ascii="Times New Roman" w:hAnsi="Times New Roman" w:eastAsia="DFKai-SB"/>
          <w:b/>
          <w:szCs w:val="24"/>
        </w:rPr>
      </w:pPr>
      <w:r>
        <w:rPr>
          <w:rFonts w:hint="eastAsia" w:ascii="Times New Roman" w:hAnsi="Times New Roman" w:eastAsia="DFKai-SB"/>
          <w:szCs w:val="24"/>
        </w:rPr>
        <w:t>各投資方同意按照以下時間表向公司繳付其各自認繳出資額：</w:t>
      </w:r>
    </w:p>
    <w:p>
      <w:pPr>
        <w:numPr>
          <w:ilvl w:val="0"/>
          <w:numId w:val="4"/>
        </w:numPr>
        <w:ind w:hanging="720"/>
        <w:jc w:val="both"/>
        <w:rPr>
          <w:rFonts w:eastAsia="DFKai-SB"/>
        </w:rPr>
      </w:pPr>
      <w:r>
        <w:rPr>
          <w:rFonts w:hint="eastAsia" w:eastAsia="DFKai-SB"/>
        </w:rPr>
        <w:t>以現金方式出資的投資方，於上述</w:t>
      </w:r>
      <w:r>
        <w:rPr>
          <w:rFonts w:eastAsia="DFKai-SB"/>
        </w:rPr>
        <w:t>(a)</w:t>
      </w:r>
      <w:r>
        <w:rPr>
          <w:rFonts w:hint="eastAsia" w:eastAsia="DFKai-SB"/>
        </w:rPr>
        <w:t>、</w:t>
      </w:r>
      <w:r>
        <w:rPr>
          <w:rFonts w:eastAsia="DFKai-SB"/>
        </w:rPr>
        <w:t>(b)</w:t>
      </w:r>
      <w:r>
        <w:rPr>
          <w:rFonts w:hint="eastAsia" w:eastAsia="DFKai-SB"/>
        </w:rPr>
        <w:t>及</w:t>
      </w:r>
      <w:r>
        <w:rPr>
          <w:rFonts w:eastAsia="DFKai-SB"/>
        </w:rPr>
        <w:t>(c)</w:t>
      </w:r>
      <w:r>
        <w:rPr>
          <w:rFonts w:hint="eastAsia" w:eastAsia="DFKai-SB"/>
        </w:rPr>
        <w:t>項條件全部成就後的</w:t>
      </w:r>
      <w:r>
        <w:rPr>
          <w:rFonts w:eastAsia="DFKai-SB"/>
        </w:rPr>
        <w:t>10</w:t>
      </w:r>
      <w:r>
        <w:rPr>
          <w:rFonts w:hint="eastAsia" w:eastAsia="DFKai-SB"/>
        </w:rPr>
        <w:t>個工作日內繳付認繳出資額的</w:t>
      </w:r>
      <w:r>
        <w:rPr>
          <w:rFonts w:eastAsia="DFKai-SB"/>
        </w:rPr>
        <w:t>100%</w:t>
      </w:r>
      <w:r>
        <w:rPr>
          <w:rFonts w:hint="eastAsia" w:eastAsia="DFKai-SB"/>
        </w:rPr>
        <w:t>；</w:t>
      </w:r>
    </w:p>
    <w:p>
      <w:pPr>
        <w:numPr>
          <w:ilvl w:val="0"/>
          <w:numId w:val="4"/>
        </w:numPr>
        <w:ind w:hanging="720"/>
        <w:jc w:val="both"/>
        <w:rPr>
          <w:rFonts w:eastAsia="DFKai-SB"/>
        </w:rPr>
      </w:pPr>
      <w:r>
        <w:rPr>
          <w:rFonts w:hint="eastAsia" w:eastAsia="DFKai-SB"/>
        </w:rPr>
        <w:t>於上述</w:t>
      </w:r>
      <w:r>
        <w:rPr>
          <w:rFonts w:eastAsia="DFKai-SB"/>
        </w:rPr>
        <w:t>(a)</w:t>
      </w:r>
      <w:r>
        <w:rPr>
          <w:rFonts w:hint="eastAsia" w:eastAsia="DFKai-SB"/>
        </w:rPr>
        <w:t>、</w:t>
      </w:r>
      <w:r>
        <w:rPr>
          <w:rFonts w:eastAsia="DFKai-SB"/>
        </w:rPr>
        <w:t>(b)</w:t>
      </w:r>
      <w:r>
        <w:rPr>
          <w:rFonts w:hint="eastAsia" w:eastAsia="DFKai-SB"/>
        </w:rPr>
        <w:t>及</w:t>
      </w:r>
      <w:r>
        <w:rPr>
          <w:rFonts w:eastAsia="DFKai-SB"/>
        </w:rPr>
        <w:t>(c)</w:t>
      </w:r>
      <w:r>
        <w:rPr>
          <w:rFonts w:hint="eastAsia" w:eastAsia="DFKai-SB"/>
        </w:rPr>
        <w:t>項條件全部成就後，本公司將進行資產注入。與新華大藥店及</w:t>
      </w:r>
      <w:r>
        <w:rPr>
          <w:rFonts w:hint="eastAsia" w:eastAsia="DFKai-SB"/>
          <w:lang w:eastAsia="zh-HK"/>
        </w:rPr>
        <w:t>本公司的若干電子及辦公室設備有關</w:t>
      </w:r>
      <w:r>
        <w:rPr>
          <w:rFonts w:hint="eastAsia" w:eastAsia="DFKai-SB"/>
        </w:rPr>
        <w:t>的業務以及人員一併劃轉至新華健康。</w:t>
      </w:r>
    </w:p>
    <w:p>
      <w:pPr>
        <w:pStyle w:val="5"/>
        <w:snapToGrid w:val="0"/>
        <w:jc w:val="both"/>
        <w:rPr>
          <w:rFonts w:ascii="Times New Roman" w:hAnsi="Times New Roman"/>
          <w:b/>
          <w:i/>
          <w:sz w:val="22"/>
        </w:rPr>
      </w:pPr>
      <w:r>
        <w:rPr>
          <w:rFonts w:hint="eastAsia" w:ascii="Times New Roman" w:hAnsi="Times New Roman" w:eastAsia="DFKai-SB"/>
          <w:szCs w:val="24"/>
        </w:rPr>
        <w:t>本公司參考新華健康的擬定資本要求和眾投資方的權益比例，以及考慮眾多因素，包括本公司現金流量等情況後，與眾投資方進行公平磋商，以確定本公司對新華健康註冊資本的認購額。本公司將以內部資金對新華健康注資。</w:t>
      </w:r>
    </w:p>
    <w:p>
      <w:pPr>
        <w:jc w:val="both"/>
        <w:rPr>
          <w:rFonts w:eastAsia="DFKai-SB"/>
          <w:b/>
          <w:bCs/>
          <w:lang w:eastAsia="zh-HK"/>
        </w:rPr>
      </w:pPr>
      <w:r>
        <w:rPr>
          <w:rFonts w:hint="eastAsia" w:eastAsia="DFKai-SB"/>
          <w:b/>
          <w:bCs/>
          <w:lang w:eastAsia="zh-HK"/>
        </w:rPr>
        <w:t>資產注入</w:t>
      </w:r>
    </w:p>
    <w:p>
      <w:pPr>
        <w:jc w:val="both"/>
        <w:rPr>
          <w:rFonts w:eastAsia="DFKai-SB"/>
          <w:bCs/>
          <w:lang w:eastAsia="zh-HK"/>
        </w:rPr>
      </w:pPr>
      <w:r>
        <w:rPr>
          <w:rFonts w:hint="eastAsia" w:eastAsia="DFKai-SB"/>
          <w:bCs/>
          <w:lang w:eastAsia="zh-HK"/>
        </w:rPr>
        <w:t>資產代價</w:t>
      </w:r>
      <w:r>
        <w:rPr>
          <w:rFonts w:eastAsia="DFKai-SB"/>
          <w:bCs/>
          <w:lang w:eastAsia="zh-HK"/>
        </w:rPr>
        <w:t>乃經參考</w:t>
      </w:r>
      <w:r>
        <w:rPr>
          <w:rFonts w:hint="eastAsia" w:eastAsia="DFKai-SB"/>
          <w:bCs/>
          <w:lang w:eastAsia="zh-HK"/>
        </w:rPr>
        <w:t>北京天健興業資產評估有限公司</w:t>
      </w:r>
      <w:r>
        <w:rPr>
          <w:rFonts w:eastAsia="DFKai-SB"/>
          <w:bCs/>
          <w:lang w:eastAsia="zh-HK"/>
        </w:rPr>
        <w:t>（「</w:t>
      </w:r>
      <w:r>
        <w:rPr>
          <w:rFonts w:eastAsia="DFKai-SB"/>
          <w:b/>
          <w:bCs/>
          <w:lang w:eastAsia="zh-HK"/>
        </w:rPr>
        <w:t>估值師</w:t>
      </w:r>
      <w:r>
        <w:rPr>
          <w:rFonts w:eastAsia="DFKai-SB"/>
          <w:bCs/>
          <w:lang w:eastAsia="zh-HK"/>
        </w:rPr>
        <w:t xml:space="preserve">」）評估進行的估值釐定，其為中國合資格的估值機構。 </w:t>
      </w:r>
    </w:p>
    <w:p>
      <w:pPr>
        <w:jc w:val="both"/>
        <w:rPr>
          <w:rFonts w:eastAsia="DFKai-SB"/>
          <w:bCs/>
          <w:lang w:eastAsia="zh-HK"/>
        </w:rPr>
      </w:pPr>
      <w:r>
        <w:rPr>
          <w:rFonts w:eastAsia="DFKai-SB"/>
          <w:bCs/>
          <w:lang w:eastAsia="zh-HK"/>
        </w:rPr>
        <w:t>根據估值師於日期為 2020</w:t>
      </w:r>
      <w:r>
        <w:rPr>
          <w:rFonts w:hint="eastAsia" w:eastAsia="DFKai-SB"/>
          <w:bCs/>
          <w:lang w:eastAsia="zh-HK"/>
        </w:rPr>
        <w:t>年</w:t>
      </w:r>
      <w:r>
        <w:rPr>
          <w:rFonts w:eastAsia="DFKai-SB"/>
          <w:bCs/>
          <w:lang w:eastAsia="zh-HK"/>
        </w:rPr>
        <w:t xml:space="preserve"> 9 </w:t>
      </w:r>
      <w:r>
        <w:rPr>
          <w:rFonts w:hint="eastAsia" w:eastAsia="DFKai-SB"/>
          <w:bCs/>
          <w:lang w:eastAsia="zh-HK"/>
        </w:rPr>
        <w:t>月</w:t>
      </w:r>
      <w:r>
        <w:rPr>
          <w:rFonts w:eastAsia="DFKai-SB"/>
          <w:bCs/>
          <w:lang w:eastAsia="zh-HK"/>
        </w:rPr>
        <w:t xml:space="preserve"> 30 </w:t>
      </w:r>
      <w:r>
        <w:rPr>
          <w:rFonts w:hint="eastAsia" w:eastAsia="DFKai-SB"/>
          <w:bCs/>
          <w:lang w:eastAsia="zh-HK"/>
        </w:rPr>
        <w:t>日</w:t>
      </w:r>
      <w:r>
        <w:rPr>
          <w:rFonts w:eastAsia="DFKai-SB"/>
          <w:bCs/>
          <w:lang w:eastAsia="zh-HK"/>
        </w:rPr>
        <w:t>發出</w:t>
      </w:r>
      <w:r>
        <w:rPr>
          <w:rFonts w:hint="eastAsia" w:eastAsia="DFKai-SB"/>
          <w:bCs/>
          <w:lang w:eastAsia="zh-HK"/>
        </w:rPr>
        <w:t>有關本公司出資</w:t>
      </w:r>
      <w:bookmarkStart w:id="0" w:name="_Hlk57750105"/>
      <w:r>
        <w:rPr>
          <w:rFonts w:hint="eastAsia" w:eastAsia="DFKai-SB"/>
          <w:bCs/>
          <w:lang w:eastAsia="zh-HK"/>
        </w:rPr>
        <w:t>新華</w:t>
      </w:r>
      <w:bookmarkEnd w:id="0"/>
      <w:r>
        <w:rPr>
          <w:rFonts w:hint="eastAsia" w:eastAsia="DFKai-SB"/>
        </w:rPr>
        <w:t>健康</w:t>
      </w:r>
      <w:r>
        <w:rPr>
          <w:rFonts w:hint="eastAsia" w:eastAsia="DFKai-SB"/>
          <w:bCs/>
          <w:lang w:eastAsia="zh-HK"/>
        </w:rPr>
        <w:t>的</w:t>
      </w:r>
      <w:r>
        <w:rPr>
          <w:rFonts w:hint="eastAsia" w:eastAsia="DFKai-SB"/>
          <w:lang w:eastAsia="zh-HK"/>
        </w:rPr>
        <w:t>若干</w:t>
      </w:r>
      <w:r>
        <w:rPr>
          <w:rFonts w:hint="eastAsia" w:eastAsia="DFKai-SB"/>
          <w:bCs/>
          <w:lang w:eastAsia="zh-HK"/>
        </w:rPr>
        <w:t>電子及辦公設備</w:t>
      </w:r>
      <w:r>
        <w:rPr>
          <w:rFonts w:eastAsia="DFKai-SB"/>
          <w:bCs/>
          <w:lang w:eastAsia="zh-HK"/>
        </w:rPr>
        <w:t>價值的估值報告，於2020</w:t>
      </w:r>
      <w:r>
        <w:rPr>
          <w:rFonts w:hint="eastAsia" w:eastAsia="DFKai-SB"/>
          <w:bCs/>
          <w:lang w:eastAsia="zh-HK"/>
        </w:rPr>
        <w:t>年</w:t>
      </w:r>
      <w:r>
        <w:rPr>
          <w:rFonts w:eastAsia="DFKai-SB"/>
          <w:bCs/>
          <w:lang w:eastAsia="zh-HK"/>
        </w:rPr>
        <w:t>7</w:t>
      </w:r>
      <w:r>
        <w:rPr>
          <w:rFonts w:hint="eastAsia" w:eastAsia="DFKai-SB"/>
          <w:bCs/>
          <w:lang w:eastAsia="zh-HK"/>
        </w:rPr>
        <w:t>月</w:t>
      </w:r>
      <w:r>
        <w:rPr>
          <w:rFonts w:eastAsia="DFKai-SB"/>
          <w:bCs/>
          <w:lang w:eastAsia="zh-HK"/>
        </w:rPr>
        <w:t xml:space="preserve"> 31 </w:t>
      </w:r>
      <w:r>
        <w:rPr>
          <w:rFonts w:hint="eastAsia" w:eastAsia="DFKai-SB"/>
          <w:bCs/>
          <w:lang w:eastAsia="zh-HK"/>
        </w:rPr>
        <w:t>日</w:t>
      </w:r>
      <w:r>
        <w:rPr>
          <w:rFonts w:eastAsia="DFKai-SB"/>
          <w:bCs/>
          <w:lang w:eastAsia="zh-HK"/>
        </w:rPr>
        <w:t>通過採用</w:t>
      </w:r>
      <w:r>
        <w:rPr>
          <w:rFonts w:hint="eastAsia" w:eastAsia="DFKai-SB"/>
          <w:bCs/>
          <w:lang w:eastAsia="zh-HK"/>
        </w:rPr>
        <w:t>重置成本法</w:t>
      </w:r>
      <w:r>
        <w:rPr>
          <w:rFonts w:eastAsia="DFKai-SB"/>
          <w:bCs/>
          <w:lang w:eastAsia="zh-HK"/>
        </w:rPr>
        <w:t>估值，</w:t>
      </w:r>
      <w:r>
        <w:rPr>
          <w:rFonts w:hint="eastAsia" w:eastAsia="DFKai-SB"/>
          <w:bCs/>
          <w:lang w:eastAsia="zh-HK"/>
        </w:rPr>
        <w:t>本公司出資新華</w:t>
      </w:r>
      <w:r>
        <w:rPr>
          <w:rFonts w:hint="eastAsia" w:eastAsia="DFKai-SB"/>
        </w:rPr>
        <w:t>健康</w:t>
      </w:r>
      <w:r>
        <w:rPr>
          <w:rFonts w:hint="eastAsia" w:eastAsia="DFKai-SB"/>
          <w:bCs/>
          <w:lang w:eastAsia="zh-HK"/>
        </w:rPr>
        <w:t>的</w:t>
      </w:r>
      <w:r>
        <w:rPr>
          <w:rFonts w:hint="eastAsia" w:eastAsia="DFKai-SB"/>
          <w:lang w:eastAsia="zh-HK"/>
        </w:rPr>
        <w:t>若干</w:t>
      </w:r>
      <w:r>
        <w:rPr>
          <w:rFonts w:hint="eastAsia" w:eastAsia="DFKai-SB"/>
          <w:bCs/>
          <w:lang w:eastAsia="zh-HK"/>
        </w:rPr>
        <w:t>電子及辦公設備的</w:t>
      </w:r>
      <w:r>
        <w:rPr>
          <w:rFonts w:eastAsia="DFKai-SB"/>
          <w:bCs/>
          <w:lang w:eastAsia="zh-HK"/>
        </w:rPr>
        <w:t>價值</w:t>
      </w:r>
      <w:r>
        <w:rPr>
          <w:rFonts w:hint="eastAsia" w:eastAsia="DFKai-SB"/>
          <w:bCs/>
          <w:lang w:eastAsia="zh-HK"/>
        </w:rPr>
        <w:t>合共</w:t>
      </w:r>
      <w:r>
        <w:rPr>
          <w:rFonts w:eastAsia="DFKai-SB"/>
          <w:bCs/>
          <w:lang w:eastAsia="zh-HK"/>
        </w:rPr>
        <w:t>為人民幣 5</w:t>
      </w:r>
      <w:r>
        <w:rPr>
          <w:rFonts w:hint="eastAsia" w:eastAsia="DFKai-SB"/>
          <w:bCs/>
          <w:lang w:eastAsia="zh-HK"/>
        </w:rPr>
        <w:t>3.68</w:t>
      </w:r>
      <w:r>
        <w:rPr>
          <w:rFonts w:eastAsia="DFKai-SB"/>
          <w:bCs/>
          <w:lang w:eastAsia="zh-HK"/>
        </w:rPr>
        <w:t>萬元</w:t>
      </w:r>
      <w:r>
        <w:rPr>
          <w:rFonts w:hint="eastAsia" w:eastAsia="DFKai-SB"/>
          <w:bCs/>
          <w:lang w:eastAsia="zh-HK"/>
        </w:rPr>
        <w:t>。</w:t>
      </w:r>
    </w:p>
    <w:p>
      <w:pPr>
        <w:jc w:val="both"/>
        <w:rPr>
          <w:rFonts w:eastAsia="DFKai-SB"/>
          <w:bCs/>
          <w:lang w:eastAsia="zh-HK"/>
        </w:rPr>
      </w:pPr>
      <w:r>
        <w:rPr>
          <w:rFonts w:eastAsia="DFKai-SB"/>
          <w:bCs/>
          <w:lang w:eastAsia="zh-HK"/>
        </w:rPr>
        <w:t>根據估值師於日期為 2020</w:t>
      </w:r>
      <w:r>
        <w:rPr>
          <w:rFonts w:hint="eastAsia" w:eastAsia="DFKai-SB"/>
          <w:bCs/>
          <w:lang w:eastAsia="zh-HK"/>
        </w:rPr>
        <w:t>年</w:t>
      </w:r>
      <w:r>
        <w:rPr>
          <w:rFonts w:eastAsia="DFKai-SB"/>
          <w:bCs/>
          <w:lang w:eastAsia="zh-HK"/>
        </w:rPr>
        <w:t xml:space="preserve">11 </w:t>
      </w:r>
      <w:r>
        <w:rPr>
          <w:rFonts w:hint="eastAsia" w:eastAsia="DFKai-SB"/>
          <w:bCs/>
          <w:lang w:eastAsia="zh-HK"/>
        </w:rPr>
        <w:t>月</w:t>
      </w:r>
      <w:r>
        <w:rPr>
          <w:rFonts w:eastAsia="DFKai-SB"/>
          <w:bCs/>
          <w:lang w:eastAsia="zh-HK"/>
        </w:rPr>
        <w:t xml:space="preserve"> 20 </w:t>
      </w:r>
      <w:r>
        <w:rPr>
          <w:rFonts w:hint="eastAsia" w:eastAsia="DFKai-SB"/>
          <w:bCs/>
          <w:lang w:eastAsia="zh-HK"/>
        </w:rPr>
        <w:t>日</w:t>
      </w:r>
      <w:r>
        <w:rPr>
          <w:rFonts w:eastAsia="DFKai-SB"/>
          <w:bCs/>
          <w:lang w:eastAsia="zh-HK"/>
        </w:rPr>
        <w:t>發出</w:t>
      </w:r>
      <w:r>
        <w:rPr>
          <w:rFonts w:hint="eastAsia" w:eastAsia="DFKai-SB"/>
          <w:bCs/>
          <w:lang w:eastAsia="zh-HK"/>
        </w:rPr>
        <w:t>有關</w:t>
      </w:r>
      <w:r>
        <w:rPr>
          <w:rFonts w:eastAsia="DFKai-SB"/>
          <w:bCs/>
          <w:lang w:eastAsia="zh-HK"/>
        </w:rPr>
        <w:t>股東權益價值的估值報告（「</w:t>
      </w:r>
      <w:r>
        <w:rPr>
          <w:rFonts w:eastAsia="DFKai-SB"/>
          <w:b/>
          <w:bCs/>
          <w:lang w:eastAsia="zh-HK"/>
        </w:rPr>
        <w:t>股東權益價值估值報告</w:t>
      </w:r>
      <w:r>
        <w:rPr>
          <w:rFonts w:eastAsia="DFKai-SB"/>
          <w:bCs/>
          <w:lang w:eastAsia="zh-HK"/>
        </w:rPr>
        <w:t>」），於 2020</w:t>
      </w:r>
      <w:r>
        <w:rPr>
          <w:rFonts w:hint="eastAsia" w:eastAsia="DFKai-SB"/>
          <w:bCs/>
          <w:lang w:eastAsia="zh-HK"/>
        </w:rPr>
        <w:t>年</w:t>
      </w:r>
      <w:r>
        <w:rPr>
          <w:rFonts w:eastAsia="DFKai-SB"/>
          <w:bCs/>
          <w:lang w:eastAsia="zh-HK"/>
        </w:rPr>
        <w:t>7</w:t>
      </w:r>
      <w:r>
        <w:rPr>
          <w:rFonts w:hint="eastAsia" w:eastAsia="DFKai-SB"/>
          <w:bCs/>
          <w:lang w:eastAsia="zh-HK"/>
        </w:rPr>
        <w:t>月</w:t>
      </w:r>
      <w:r>
        <w:rPr>
          <w:rFonts w:eastAsia="DFKai-SB"/>
          <w:bCs/>
          <w:lang w:eastAsia="zh-HK"/>
        </w:rPr>
        <w:t xml:space="preserve"> 31 </w:t>
      </w:r>
      <w:r>
        <w:rPr>
          <w:rFonts w:hint="eastAsia" w:eastAsia="DFKai-SB"/>
          <w:bCs/>
          <w:lang w:eastAsia="zh-HK"/>
        </w:rPr>
        <w:t>日</w:t>
      </w:r>
      <w:r>
        <w:rPr>
          <w:rFonts w:eastAsia="DFKai-SB"/>
          <w:bCs/>
          <w:lang w:eastAsia="zh-HK"/>
        </w:rPr>
        <w:t>（「</w:t>
      </w:r>
      <w:r>
        <w:rPr>
          <w:rFonts w:eastAsia="DFKai-SB"/>
          <w:b/>
          <w:bCs/>
          <w:lang w:eastAsia="zh-HK"/>
        </w:rPr>
        <w:t>基準日期</w:t>
      </w:r>
      <w:r>
        <w:rPr>
          <w:rFonts w:eastAsia="DFKai-SB"/>
          <w:bCs/>
          <w:lang w:eastAsia="zh-HK"/>
        </w:rPr>
        <w:t xml:space="preserve">」）： </w:t>
      </w:r>
    </w:p>
    <w:p>
      <w:pPr>
        <w:pStyle w:val="36"/>
        <w:numPr>
          <w:ilvl w:val="0"/>
          <w:numId w:val="5"/>
        </w:numPr>
        <w:ind w:hanging="720"/>
        <w:jc w:val="both"/>
        <w:rPr>
          <w:rFonts w:eastAsia="DFKai-SB"/>
          <w:bCs/>
          <w:lang w:eastAsia="zh-HK"/>
        </w:rPr>
      </w:pPr>
      <w:r>
        <w:rPr>
          <w:rFonts w:eastAsia="DFKai-SB"/>
          <w:bCs/>
          <w:lang w:eastAsia="zh-HK"/>
        </w:rPr>
        <w:t>通過採用收益法估值，</w:t>
      </w:r>
      <w:r>
        <w:rPr>
          <w:rFonts w:hint="eastAsia" w:eastAsia="DFKai-SB"/>
          <w:bCs/>
          <w:lang w:eastAsia="zh-HK"/>
        </w:rPr>
        <w:t>新華大藥店</w:t>
      </w:r>
      <w:r>
        <w:rPr>
          <w:rFonts w:eastAsia="DFKai-SB"/>
          <w:bCs/>
          <w:lang w:eastAsia="zh-HK"/>
        </w:rPr>
        <w:t xml:space="preserve">股東全部權益價值為人民幣 2,366.44萬元；及 </w:t>
      </w:r>
    </w:p>
    <w:p>
      <w:pPr>
        <w:pStyle w:val="36"/>
        <w:numPr>
          <w:ilvl w:val="0"/>
          <w:numId w:val="5"/>
        </w:numPr>
        <w:ind w:hanging="720"/>
        <w:jc w:val="both"/>
        <w:rPr>
          <w:rFonts w:eastAsia="DFKai-SB"/>
          <w:bCs/>
          <w:lang w:eastAsia="zh-HK"/>
        </w:rPr>
      </w:pPr>
      <w:r>
        <w:rPr>
          <w:rFonts w:eastAsia="DFKai-SB"/>
          <w:bCs/>
          <w:lang w:eastAsia="zh-HK"/>
        </w:rPr>
        <w:t>通過採用資產基礎法估值，</w:t>
      </w:r>
      <w:r>
        <w:rPr>
          <w:rFonts w:hint="eastAsia" w:eastAsia="DFKai-SB"/>
          <w:bCs/>
          <w:lang w:eastAsia="zh-HK"/>
        </w:rPr>
        <w:t>新華大藥店總資產為21,557.35萬元，負債為20,295.37萬元，淨資產為1,261.98萬元，評估增值196.11萬元，增值率18.40%。</w:t>
      </w:r>
      <w:r>
        <w:rPr>
          <w:rFonts w:eastAsia="DFKai-SB"/>
          <w:bCs/>
          <w:lang w:eastAsia="zh-HK"/>
        </w:rPr>
        <w:t xml:space="preserve"> </w:t>
      </w:r>
    </w:p>
    <w:p>
      <w:pPr>
        <w:jc w:val="both"/>
        <w:rPr>
          <w:rFonts w:eastAsia="DFKai-SB"/>
          <w:bCs/>
          <w:lang w:eastAsia="zh-HK"/>
        </w:rPr>
      </w:pPr>
      <w:r>
        <w:rPr>
          <w:rFonts w:eastAsia="DFKai-SB"/>
          <w:bCs/>
          <w:lang w:eastAsia="zh-HK"/>
        </w:rPr>
        <w:t>估值師已根據上述方法考慮估值結果，</w:t>
      </w:r>
      <w:r>
        <w:rPr>
          <w:rFonts w:hint="eastAsia" w:eastAsia="DFKai-SB"/>
          <w:bCs/>
          <w:lang w:eastAsia="zh-HK"/>
        </w:rPr>
        <w:t>其</w:t>
      </w:r>
      <w:r>
        <w:rPr>
          <w:rFonts w:eastAsia="DFKai-SB"/>
          <w:bCs/>
          <w:lang w:eastAsia="zh-HK"/>
        </w:rPr>
        <w:t>認為：</w:t>
      </w:r>
    </w:p>
    <w:p>
      <w:pPr>
        <w:pStyle w:val="36"/>
        <w:numPr>
          <w:ilvl w:val="0"/>
          <w:numId w:val="6"/>
        </w:numPr>
        <w:ind w:hanging="720"/>
        <w:jc w:val="both"/>
        <w:rPr>
          <w:rFonts w:eastAsia="DFKai-SB"/>
          <w:bCs/>
          <w:lang w:eastAsia="zh-HK"/>
        </w:rPr>
      </w:pPr>
      <w:r>
        <w:rPr>
          <w:rFonts w:hint="eastAsia" w:eastAsia="DFKai-SB"/>
          <w:bCs/>
          <w:lang w:eastAsia="zh-HK"/>
        </w:rPr>
        <w:t>資產基礎法為從資產重置的角度評價資產的公平市場價值，僅能反映企業資產的自身價值，而不能全面、合理的體現各項資產綜合的獲利能力及企業的成長性，並且也無法涵蓋諸如在執行合同、客戶資源、人力資源等無形資產的價值</w:t>
      </w:r>
      <w:r>
        <w:rPr>
          <w:rFonts w:eastAsia="DFKai-SB"/>
          <w:bCs/>
          <w:lang w:eastAsia="zh-HK"/>
        </w:rPr>
        <w:t xml:space="preserve">；及 </w:t>
      </w:r>
    </w:p>
    <w:p>
      <w:pPr>
        <w:pStyle w:val="36"/>
        <w:numPr>
          <w:ilvl w:val="0"/>
          <w:numId w:val="6"/>
        </w:numPr>
        <w:ind w:hanging="720"/>
        <w:jc w:val="both"/>
        <w:rPr>
          <w:rFonts w:eastAsia="DFKai-SB"/>
          <w:bCs/>
          <w:lang w:eastAsia="zh-HK"/>
        </w:rPr>
      </w:pPr>
      <w:r>
        <w:rPr>
          <w:rFonts w:hint="eastAsia" w:eastAsia="DFKai-SB"/>
          <w:bCs/>
          <w:lang w:eastAsia="zh-HK"/>
        </w:rPr>
        <w:t>收益法是採用預期收益折現的途徑來評估企業價值，不僅考慮了企業以會計原則計量的資產，同時也考慮了在資產負債表中無法反映的企業實際擁有或控制的資源，如在執行合同、客戶資源、銷售網路、人力資源等，而該等資源對企業的貢獻均體現在企業的淨現金流中，所以，收益法的評估結論能更好體現企業整體的成長性和盈利能力</w:t>
      </w:r>
      <w:r>
        <w:rPr>
          <w:rFonts w:eastAsia="DFKai-SB"/>
          <w:bCs/>
          <w:lang w:eastAsia="zh-HK"/>
        </w:rPr>
        <w:t xml:space="preserve">。 </w:t>
      </w:r>
    </w:p>
    <w:p>
      <w:pPr>
        <w:jc w:val="both"/>
        <w:rPr>
          <w:rFonts w:eastAsia="DFKai-SB"/>
          <w:bCs/>
        </w:rPr>
      </w:pPr>
      <w:r>
        <w:rPr>
          <w:rFonts w:eastAsia="DFKai-SB"/>
          <w:bCs/>
          <w:lang w:eastAsia="zh-HK"/>
        </w:rPr>
        <w:t>估值師認為</w:t>
      </w:r>
      <w:r>
        <w:rPr>
          <w:rFonts w:hint="eastAsia" w:eastAsia="DFKai-SB"/>
          <w:bCs/>
        </w:rPr>
        <w:t>資產的價值通常不是基於重新購建該等資產所花費的成本而是基於市場參與者對未來收益的預期。</w:t>
      </w:r>
      <w:r>
        <w:rPr>
          <w:rFonts w:eastAsia="DFKai-SB"/>
          <w:bCs/>
          <w:lang w:eastAsia="zh-HK"/>
        </w:rPr>
        <w:t>估值師</w:t>
      </w:r>
      <w:r>
        <w:rPr>
          <w:rFonts w:hint="eastAsia" w:eastAsia="DFKai-SB"/>
          <w:bCs/>
        </w:rPr>
        <w:t>經過對被評估單位財務狀況的調查及經營狀況分析，結合本次資產評估對象、評估目的，適用的價值類型，經過比較分析，認為收益法的評估結論能更全面、合理地反映</w:t>
      </w:r>
      <w:r>
        <w:rPr>
          <w:rFonts w:hint="eastAsia" w:eastAsia="DFKai-SB"/>
          <w:bCs/>
          <w:lang w:eastAsia="zh-HK"/>
        </w:rPr>
        <w:t>新華大藥店</w:t>
      </w:r>
      <w:r>
        <w:rPr>
          <w:rFonts w:hint="eastAsia" w:eastAsia="DFKai-SB"/>
          <w:bCs/>
        </w:rPr>
        <w:t>的內含價值，故採用收益法評估。</w:t>
      </w:r>
    </w:p>
    <w:p>
      <w:pPr>
        <w:jc w:val="both"/>
        <w:rPr>
          <w:rFonts w:eastAsia="DFKai-SB"/>
          <w:bCs/>
          <w:lang w:eastAsia="zh-HK"/>
        </w:rPr>
      </w:pPr>
      <w:r>
        <w:rPr>
          <w:rFonts w:hint="eastAsia" w:eastAsia="DFKai-SB"/>
          <w:bCs/>
          <w:lang w:eastAsia="zh-HK"/>
        </w:rPr>
        <w:t>股東權益價值估值報告</w:t>
      </w:r>
      <w:r>
        <w:rPr>
          <w:rFonts w:eastAsia="DFKai-SB"/>
          <w:bCs/>
          <w:lang w:eastAsia="zh-HK"/>
        </w:rPr>
        <w:t>的摘要（載有估值所基於的主要假設）已作為附錄載入並隨附本公告</w:t>
      </w:r>
      <w:r>
        <w:rPr>
          <w:rFonts w:hint="eastAsia" w:eastAsia="DFKai-SB"/>
          <w:bCs/>
          <w:lang w:eastAsia="zh-HK"/>
        </w:rPr>
        <w:t>。</w:t>
      </w:r>
    </w:p>
    <w:p>
      <w:pPr>
        <w:pStyle w:val="5"/>
        <w:snapToGrid w:val="0"/>
        <w:ind w:left="-117"/>
        <w:jc w:val="both"/>
        <w:rPr>
          <w:rFonts w:eastAsia="DFKai-SB"/>
          <w:bCs/>
        </w:rPr>
      </w:pPr>
      <w:r>
        <w:rPr>
          <w:rFonts w:hint="eastAsia" w:eastAsia="DFKai-SB"/>
          <w:bCs/>
        </w:rPr>
        <w:t>新華健康</w:t>
      </w:r>
      <w:r>
        <w:rPr>
          <w:rFonts w:hint="eastAsia" w:eastAsia="DFKai-SB"/>
          <w:bCs/>
          <w:lang w:eastAsia="zh-HK"/>
        </w:rPr>
        <w:t>將</w:t>
      </w:r>
      <w:r>
        <w:rPr>
          <w:rFonts w:hint="eastAsia" w:eastAsia="DFKai-SB"/>
          <w:bCs/>
        </w:rPr>
        <w:t>以附屬公司身份在</w:t>
      </w:r>
      <w:r>
        <w:rPr>
          <w:rFonts w:hint="eastAsia" w:eastAsia="DFKai-SB"/>
          <w:bCs/>
          <w:lang w:eastAsia="zh-HK"/>
        </w:rPr>
        <w:t>本公司</w:t>
      </w:r>
      <w:r>
        <w:rPr>
          <w:rFonts w:hint="eastAsia" w:eastAsia="DFKai-SB"/>
          <w:bCs/>
        </w:rPr>
        <w:t>的經審計綜合賬目中獲計及並被綜合計算</w:t>
      </w:r>
      <w:r>
        <w:rPr>
          <w:rFonts w:hint="eastAsia" w:eastAsia="DFKai-SB"/>
          <w:bCs/>
          <w:lang w:eastAsia="zh-HK"/>
        </w:rPr>
        <w:t>，故此本公司預期資產注入將不會對本公司及其附屬公司</w:t>
      </w:r>
      <w:r>
        <w:rPr>
          <w:rFonts w:eastAsia="DFKai-SB"/>
          <w:bCs/>
          <w:lang w:eastAsia="zh-HK"/>
        </w:rPr>
        <w:t>（「</w:t>
      </w:r>
      <w:r>
        <w:rPr>
          <w:rFonts w:hint="eastAsia" w:eastAsia="DFKai-SB"/>
          <w:b/>
          <w:bCs/>
          <w:lang w:eastAsia="zh-HK"/>
        </w:rPr>
        <w:t>本集團</w:t>
      </w:r>
      <w:r>
        <w:rPr>
          <w:rFonts w:eastAsia="DFKai-SB"/>
          <w:bCs/>
          <w:lang w:eastAsia="zh-HK"/>
        </w:rPr>
        <w:t>」）</w:t>
      </w:r>
      <w:r>
        <w:rPr>
          <w:rFonts w:hint="eastAsia" w:eastAsia="DFKai-SB"/>
          <w:bCs/>
          <w:lang w:eastAsia="zh-HK"/>
        </w:rPr>
        <w:t>造成任何重大財務影響。在完成新華大藥店的權益轉讓至新華健康後，其將不再為本公司的直接附屬公司，而將成為本公司經</w:t>
      </w:r>
      <w:r>
        <w:rPr>
          <w:rFonts w:hint="eastAsia" w:eastAsia="DFKai-SB"/>
          <w:bCs/>
        </w:rPr>
        <w:t>新華健康</w:t>
      </w:r>
      <w:r>
        <w:rPr>
          <w:rFonts w:hint="eastAsia" w:eastAsia="DFKai-SB"/>
          <w:bCs/>
          <w:lang w:eastAsia="zh-HK"/>
        </w:rPr>
        <w:t>持有的間接附屬公司。</w:t>
      </w:r>
    </w:p>
    <w:p>
      <w:pPr>
        <w:pStyle w:val="5"/>
        <w:snapToGrid w:val="0"/>
        <w:ind w:left="-117"/>
        <w:jc w:val="both"/>
        <w:rPr>
          <w:rFonts w:eastAsia="DFKai-SB"/>
          <w:bCs/>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新華健康的經營範圍</w:t>
      </w:r>
    </w:p>
    <w:p>
      <w:pPr>
        <w:pStyle w:val="5"/>
        <w:snapToGrid w:val="0"/>
        <w:jc w:val="both"/>
        <w:rPr>
          <w:rFonts w:ascii="Times New Roman" w:hAnsi="Times New Roman" w:eastAsia="DFKai-SB"/>
          <w:bCs/>
          <w:szCs w:val="24"/>
          <w:highlight w:val="yellow"/>
        </w:rPr>
      </w:pPr>
    </w:p>
    <w:p>
      <w:pPr>
        <w:pStyle w:val="5"/>
        <w:snapToGrid w:val="0"/>
        <w:jc w:val="both"/>
        <w:rPr>
          <w:rFonts w:ascii="Times New Roman" w:hAnsi="Times New Roman" w:eastAsia="DFKai-SB"/>
          <w:bCs/>
          <w:szCs w:val="24"/>
          <w:highlight w:val="yellow"/>
        </w:rPr>
      </w:pPr>
      <w:r>
        <w:rPr>
          <w:rFonts w:hint="eastAsia" w:ascii="Times New Roman" w:hAnsi="Times New Roman" w:eastAsia="DFKai-SB"/>
          <w:bCs/>
          <w:szCs w:val="24"/>
        </w:rPr>
        <w:t>新華健康經營範圍擬包括對外投資及管理；遠程健康管理服務；健康諮詢服務（不含診療服務）；養生保健服務（非醫療）；藥品、醫療器械互聯網信息服務；互聯網數據服務；互聯網銷售；信息諮詢服務（不含許可類信息諮詢服務）；市場營銷策劃；企業形象策劃；個人互聯網直播服務（需備案）；攝像及視頻製作服務；圖文設計製作；第一、二類、三類醫療器械、保健品、衛生用品和一次性使用醫療用品、母嬰用品、食品用洗滌劑、食品添加劑、成人情趣用品、化學產品、消毒劑、針紡織品、日用品、辦公用品、電子產品、化妝品、寵物食品、食用農產品的批發、零售；酒類經營；食品經營；進出口代理；貨物與技術進出口；國內貿易代理；票務代理服務；單用途商業預付卡代理銷售；創業空間服務（依法需經批准的項目，經相關部門批准後可開展經營活動）。</w:t>
      </w:r>
    </w:p>
    <w:p>
      <w:pPr>
        <w:pStyle w:val="5"/>
        <w:snapToGrid w:val="0"/>
        <w:jc w:val="both"/>
        <w:rPr>
          <w:rFonts w:eastAsiaTheme="minorEastAsia"/>
        </w:rPr>
      </w:pPr>
    </w:p>
    <w:p>
      <w:pPr>
        <w:pStyle w:val="5"/>
        <w:snapToGrid w:val="0"/>
        <w:jc w:val="both"/>
        <w:rPr>
          <w:rFonts w:ascii="Times New Roman" w:hAnsi="Times New Roman" w:eastAsia="DFKai-SB"/>
          <w:bCs/>
          <w:szCs w:val="24"/>
        </w:rPr>
      </w:pPr>
      <w:r>
        <w:rPr>
          <w:rFonts w:hint="eastAsia" w:ascii="Times New Roman" w:hAnsi="Times New Roman" w:eastAsia="DFKai-SB"/>
          <w:bCs/>
          <w:szCs w:val="24"/>
        </w:rPr>
        <w:t>新華健康的實際經營範圍將以</w:t>
      </w:r>
      <w:r>
        <w:rPr>
          <w:rFonts w:hint="eastAsia" w:ascii="Times New Roman" w:hAnsi="Times New Roman" w:eastAsia="DFKai-SB"/>
          <w:bCs/>
          <w:color w:val="231F20"/>
          <w:spacing w:val="4"/>
          <w:szCs w:val="24"/>
        </w:rPr>
        <w:t>將發出的</w:t>
      </w:r>
      <w:r>
        <w:rPr>
          <w:rFonts w:hint="eastAsia" w:ascii="Times New Roman" w:hAnsi="Times New Roman" w:eastAsia="DFKai-SB"/>
          <w:szCs w:val="24"/>
        </w:rPr>
        <w:t>營業執照所載</w:t>
      </w:r>
      <w:r>
        <w:rPr>
          <w:rFonts w:hint="eastAsia" w:ascii="Times New Roman" w:hAnsi="Times New Roman" w:eastAsia="DFKai-SB"/>
          <w:bCs/>
          <w:color w:val="231F20"/>
          <w:spacing w:val="4"/>
          <w:szCs w:val="24"/>
        </w:rPr>
        <w:t>為準。</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
          <w:szCs w:val="24"/>
          <w:lang w:eastAsia="zh-HK"/>
        </w:rPr>
      </w:pPr>
      <w:r>
        <w:rPr>
          <w:rFonts w:hint="eastAsia" w:ascii="Times New Roman" w:hAnsi="Times New Roman" w:eastAsia="DFKai-SB"/>
          <w:b/>
          <w:szCs w:val="24"/>
        </w:rPr>
        <w:t>新華健康的董事會組成</w:t>
      </w:r>
    </w:p>
    <w:p>
      <w:pPr>
        <w:pStyle w:val="5"/>
        <w:snapToGrid w:val="0"/>
        <w:jc w:val="both"/>
        <w:rPr>
          <w:rFonts w:ascii="Times New Roman" w:hAnsi="Times New Roman" w:eastAsia="DFKai-SB"/>
          <w:bCs/>
          <w:szCs w:val="24"/>
        </w:rPr>
      </w:pPr>
    </w:p>
    <w:p>
      <w:pPr>
        <w:pStyle w:val="5"/>
        <w:snapToGrid w:val="0"/>
        <w:jc w:val="both"/>
        <w:rPr>
          <w:rFonts w:ascii="Times New Roman" w:hAnsi="Times New Roman" w:eastAsia="DFKai-SB"/>
          <w:bCs/>
          <w:szCs w:val="24"/>
        </w:rPr>
      </w:pPr>
      <w:r>
        <w:rPr>
          <w:rFonts w:hint="eastAsia" w:ascii="Times New Roman" w:hAnsi="Times New Roman" w:eastAsia="DFKai-SB"/>
          <w:bCs/>
          <w:szCs w:val="24"/>
        </w:rPr>
        <w:t>投資協議協定</w:t>
      </w:r>
      <w:r>
        <w:rPr>
          <w:rFonts w:ascii="Times New Roman" w:hAnsi="Times New Roman" w:eastAsia="DFKai-SB"/>
          <w:bCs/>
          <w:szCs w:val="24"/>
        </w:rPr>
        <w:t xml:space="preserve">(i) </w:t>
      </w:r>
      <w:r>
        <w:rPr>
          <w:rFonts w:hint="eastAsia" w:ascii="Times New Roman" w:hAnsi="Times New Roman" w:eastAsia="DFKai-SB"/>
          <w:bCs/>
          <w:szCs w:val="24"/>
        </w:rPr>
        <w:t>新華健康的董事會由</w:t>
      </w:r>
      <w:r>
        <w:rPr>
          <w:rFonts w:ascii="Times New Roman" w:hAnsi="Times New Roman" w:eastAsia="PMingLiU"/>
          <w:bCs/>
          <w:szCs w:val="24"/>
        </w:rPr>
        <w:t>5</w:t>
      </w:r>
      <w:r>
        <w:rPr>
          <w:rFonts w:hint="eastAsia" w:ascii="Times New Roman" w:hAnsi="Times New Roman" w:eastAsia="DFKai-SB"/>
          <w:bCs/>
          <w:szCs w:val="24"/>
        </w:rPr>
        <w:t>名董事組成</w:t>
      </w:r>
      <w:r>
        <w:rPr>
          <w:rFonts w:ascii="Times New Roman" w:hAnsi="Times New Roman" w:eastAsia="DFKai-SB"/>
          <w:bCs/>
          <w:szCs w:val="24"/>
        </w:rPr>
        <w:t>; (ii)</w:t>
      </w:r>
      <w:r>
        <w:rPr>
          <w:rFonts w:hint="eastAsia" w:ascii="Times New Roman" w:hAnsi="Times New Roman" w:eastAsia="DFKai-SB"/>
          <w:bCs/>
          <w:szCs w:val="24"/>
        </w:rPr>
        <w:t>本公司有權提名</w:t>
      </w:r>
      <w:r>
        <w:rPr>
          <w:rFonts w:ascii="Times New Roman" w:hAnsi="Times New Roman" w:eastAsia="PMingLiU"/>
          <w:bCs/>
          <w:szCs w:val="24"/>
        </w:rPr>
        <w:t>3</w:t>
      </w:r>
      <w:r>
        <w:rPr>
          <w:rFonts w:hint="eastAsia" w:ascii="Times New Roman" w:hAnsi="Times New Roman" w:eastAsia="DFKai-SB"/>
          <w:bCs/>
          <w:szCs w:val="24"/>
        </w:rPr>
        <w:t>名董事，</w:t>
      </w:r>
      <w:r>
        <w:rPr>
          <w:rFonts w:hint="eastAsia" w:eastAsia="DFKai-SB"/>
          <w:bCs/>
          <w:color w:val="231F20"/>
          <w:spacing w:val="4"/>
        </w:rPr>
        <w:t>華啟創聯</w:t>
      </w:r>
      <w:r>
        <w:rPr>
          <w:rFonts w:hint="eastAsia" w:ascii="Times New Roman" w:hAnsi="Times New Roman" w:eastAsia="DFKai-SB"/>
          <w:szCs w:val="24"/>
        </w:rPr>
        <w:t>及</w:t>
      </w:r>
      <w:r>
        <w:rPr>
          <w:rFonts w:hint="eastAsia" w:eastAsia="DFKai-SB"/>
          <w:bCs/>
          <w:color w:val="231F20"/>
          <w:spacing w:val="4"/>
        </w:rPr>
        <w:t>海南鑫壘</w:t>
      </w:r>
      <w:r>
        <w:rPr>
          <w:rFonts w:hint="eastAsia" w:ascii="Times New Roman" w:hAnsi="Times New Roman" w:eastAsia="DFKai-SB"/>
          <w:bCs/>
          <w:szCs w:val="24"/>
        </w:rPr>
        <w:t>分別有權提名</w:t>
      </w:r>
      <w:r>
        <w:rPr>
          <w:rFonts w:ascii="Times New Roman" w:hAnsi="Times New Roman" w:eastAsia="DFKai-SB"/>
          <w:bCs/>
          <w:szCs w:val="24"/>
        </w:rPr>
        <w:t>1</w:t>
      </w:r>
      <w:r>
        <w:rPr>
          <w:rFonts w:hint="eastAsia" w:ascii="Times New Roman" w:hAnsi="Times New Roman" w:eastAsia="DFKai-SB"/>
          <w:bCs/>
          <w:szCs w:val="24"/>
        </w:rPr>
        <w:t>名董事</w:t>
      </w:r>
      <w:r>
        <w:rPr>
          <w:rFonts w:ascii="Times New Roman" w:hAnsi="Times New Roman" w:eastAsia="DFKai-SB"/>
          <w:bCs/>
          <w:szCs w:val="24"/>
        </w:rPr>
        <w:t>;</w:t>
      </w:r>
      <w:r>
        <w:rPr>
          <w:rFonts w:hint="eastAsia" w:ascii="Times New Roman" w:hAnsi="Times New Roman" w:eastAsia="DFKai-SB"/>
          <w:bCs/>
          <w:szCs w:val="24"/>
          <w:lang w:eastAsia="zh-HK"/>
        </w:rPr>
        <w:t>及</w:t>
      </w:r>
      <w:r>
        <w:rPr>
          <w:rFonts w:ascii="Times New Roman" w:hAnsi="Times New Roman" w:eastAsia="DFKai-SB"/>
          <w:bCs/>
          <w:szCs w:val="24"/>
        </w:rPr>
        <w:t xml:space="preserve"> (iii) </w:t>
      </w:r>
      <w:r>
        <w:rPr>
          <w:rFonts w:hint="eastAsia" w:ascii="Times New Roman" w:hAnsi="Times New Roman" w:eastAsia="DFKai-SB"/>
          <w:bCs/>
          <w:szCs w:val="24"/>
        </w:rPr>
        <w:t>新華健康的董事長由本公司提名，經新華健康董事會全體董事的過半數選舉產生</w:t>
      </w:r>
      <w:r>
        <w:rPr>
          <w:rFonts w:hint="eastAsia" w:eastAsia="DFKai-SB"/>
        </w:rPr>
        <w:t>。</w:t>
      </w:r>
    </w:p>
    <w:p>
      <w:pPr>
        <w:jc w:val="both"/>
        <w:rPr>
          <w:rFonts w:eastAsia="DFKai-SB"/>
          <w:b/>
          <w:bCs/>
        </w:rPr>
      </w:pPr>
    </w:p>
    <w:p>
      <w:pPr>
        <w:jc w:val="both"/>
        <w:rPr>
          <w:rFonts w:eastAsia="DFKai-SB"/>
          <w:b/>
          <w:bCs/>
        </w:rPr>
      </w:pPr>
      <w:r>
        <w:rPr>
          <w:rFonts w:hint="eastAsia" w:eastAsia="DFKai-SB"/>
          <w:b/>
          <w:bCs/>
        </w:rPr>
        <w:t>鎖定期</w:t>
      </w:r>
    </w:p>
    <w:p>
      <w:pPr>
        <w:jc w:val="both"/>
        <w:rPr>
          <w:rFonts w:eastAsia="DFKai-SB"/>
          <w:bCs/>
        </w:rPr>
      </w:pPr>
      <w:r>
        <w:rPr>
          <w:rFonts w:hint="eastAsia" w:eastAsia="DFKai-SB"/>
          <w:bCs/>
        </w:rPr>
        <w:t>新華健康在成立時眾投資方認購的股權均受制於自成立日起計的</w:t>
      </w:r>
      <w:r>
        <w:rPr>
          <w:rFonts w:eastAsia="DFKai-SB"/>
          <w:bCs/>
        </w:rPr>
        <w:t>5</w:t>
      </w:r>
      <w:r>
        <w:rPr>
          <w:rFonts w:hint="eastAsia" w:eastAsia="DFKai-SB"/>
          <w:bCs/>
        </w:rPr>
        <w:t>年的鎖定期</w:t>
      </w:r>
      <w:r>
        <w:rPr>
          <w:rFonts w:eastAsia="DFKai-SB"/>
          <w:bCs/>
        </w:rPr>
        <w:t>(</w:t>
      </w:r>
      <w:r>
        <w:rPr>
          <w:rFonts w:hint="eastAsia" w:eastAsia="DFKai-SB"/>
          <w:bCs/>
          <w:color w:val="231F20"/>
          <w:spacing w:val="4"/>
        </w:rPr>
        <w:t>「</w:t>
      </w:r>
      <w:r>
        <w:rPr>
          <w:rFonts w:hint="eastAsia" w:eastAsia="DFKai-SB"/>
          <w:b/>
          <w:bCs/>
        </w:rPr>
        <w:t>鎖定期</w:t>
      </w:r>
      <w:r>
        <w:rPr>
          <w:rFonts w:hint="eastAsia" w:eastAsia="DFKai-SB"/>
          <w:bCs/>
          <w:color w:val="231F20"/>
          <w:spacing w:val="4"/>
        </w:rPr>
        <w:t>」</w:t>
      </w:r>
      <w:r>
        <w:rPr>
          <w:rFonts w:eastAsia="DFKai-SB"/>
          <w:bCs/>
        </w:rPr>
        <w:t>)</w:t>
      </w:r>
      <w:r>
        <w:rPr>
          <w:rFonts w:hint="eastAsia" w:eastAsia="DFKai-SB"/>
          <w:bCs/>
        </w:rPr>
        <w:t>，向其同一控制下主體轉讓股權（但不包括向其同一國有資產監督管理機構控制下主體轉讓）則除外。每一投資方不得在該鎖定期內直接或間接出售、出讓、轉讓、以其他方式處置其在新華健康成立時認購的股權，且任何該等處置應為無效。投資方質押其股權應當按照投資協議規定經其他股東過半數同意。投資方質押其股權不得影響新華健康的正常經營。</w:t>
      </w:r>
    </w:p>
    <w:p>
      <w:pPr>
        <w:jc w:val="both"/>
        <w:rPr>
          <w:rFonts w:eastAsia="DFKai-SB"/>
          <w:b/>
          <w:bCs/>
        </w:rPr>
      </w:pPr>
    </w:p>
    <w:p>
      <w:pPr>
        <w:jc w:val="both"/>
        <w:rPr>
          <w:rFonts w:eastAsia="DFKai-SB"/>
          <w:b/>
          <w:bCs/>
          <w:lang w:eastAsia="zh-HK"/>
        </w:rPr>
      </w:pPr>
      <w:r>
        <w:rPr>
          <w:rFonts w:hint="eastAsia" w:eastAsia="DFKai-SB"/>
          <w:b/>
          <w:bCs/>
        </w:rPr>
        <w:t>有關股權轉讓的優先購買權</w:t>
      </w:r>
    </w:p>
    <w:p>
      <w:pPr>
        <w:jc w:val="both"/>
        <w:rPr>
          <w:rFonts w:eastAsia="DFKai-SB"/>
          <w:bCs/>
          <w:lang w:eastAsia="zh-HK"/>
        </w:rPr>
      </w:pPr>
    </w:p>
    <w:p>
      <w:pPr>
        <w:jc w:val="both"/>
        <w:rPr>
          <w:rFonts w:eastAsia="DFKai-SB"/>
          <w:bCs/>
        </w:rPr>
      </w:pPr>
      <w:r>
        <w:rPr>
          <w:rFonts w:hint="eastAsia" w:eastAsia="DFKai-SB"/>
          <w:bCs/>
        </w:rPr>
        <w:t>鎖定期屆滿後，任何投資方</w:t>
      </w:r>
      <w:r>
        <w:rPr>
          <w:rFonts w:eastAsia="DFKai-SB"/>
          <w:bCs/>
        </w:rPr>
        <w:t>(</w:t>
      </w:r>
      <w:r>
        <w:rPr>
          <w:rFonts w:hint="eastAsia" w:eastAsia="DFKai-SB"/>
          <w:bCs/>
          <w:color w:val="231F20"/>
          <w:spacing w:val="4"/>
        </w:rPr>
        <w:t>「</w:t>
      </w:r>
      <w:r>
        <w:rPr>
          <w:rFonts w:hint="eastAsia" w:eastAsia="DFKai-SB"/>
          <w:b/>
          <w:bCs/>
        </w:rPr>
        <w:t>轉讓方</w:t>
      </w:r>
      <w:r>
        <w:rPr>
          <w:rFonts w:hint="eastAsia" w:eastAsia="DFKai-SB"/>
          <w:bCs/>
          <w:color w:val="231F20"/>
          <w:spacing w:val="4"/>
        </w:rPr>
        <w:t>」</w:t>
      </w:r>
      <w:r>
        <w:rPr>
          <w:rFonts w:eastAsia="DFKai-SB"/>
          <w:bCs/>
        </w:rPr>
        <w:t>)</w:t>
      </w:r>
      <w:r>
        <w:rPr>
          <w:rFonts w:hint="eastAsia" w:eastAsia="DFKai-SB"/>
          <w:bCs/>
        </w:rPr>
        <w:t>擬向第三方（含新華健康其他投資方）出售其全部或部分新華健康股權的，應經其他投資方過半數同意。對該等股權，所有投資方享有同等條件下的優先購買權，但轉讓方向其同一控制下主體進行的轉讓除外。若有兩個或以上投資方主張行使優先購買權的，由擬行使優先購買權的投資方協商確定各自的購買比例；協商不成的，按照轉讓時其各自的出資比例行使優先購買權，並共同受讓轉讓方擬轉讓的全部股權。</w:t>
      </w:r>
    </w:p>
    <w:p>
      <w:pPr>
        <w:rPr>
          <w:rFonts w:eastAsia="DFKai-SB"/>
          <w:bCs/>
        </w:rPr>
      </w:pPr>
    </w:p>
    <w:p>
      <w:pPr>
        <w:rPr>
          <w:rFonts w:eastAsia="DFKai-SB"/>
          <w:b/>
          <w:bCs/>
          <w:lang w:eastAsia="zh-HK"/>
        </w:rPr>
      </w:pPr>
      <w:r>
        <w:rPr>
          <w:rFonts w:hint="eastAsia" w:eastAsia="DFKai-SB"/>
          <w:b/>
          <w:bCs/>
        </w:rPr>
        <w:t>協議終止</w:t>
      </w:r>
    </w:p>
    <w:p>
      <w:pPr>
        <w:rPr>
          <w:rFonts w:eastAsia="DFKai-SB"/>
          <w:b/>
          <w:bCs/>
          <w:lang w:eastAsia="zh-HK"/>
        </w:rPr>
      </w:pPr>
    </w:p>
    <w:p>
      <w:pPr>
        <w:rPr>
          <w:rFonts w:eastAsia="DFKai-SB"/>
          <w:bCs/>
        </w:rPr>
      </w:pPr>
      <w:r>
        <w:rPr>
          <w:rFonts w:hint="eastAsia" w:eastAsia="DFKai-SB"/>
          <w:bCs/>
        </w:rPr>
        <w:t>投資協議在新華健康成立前自發生下列事件之一時終止：</w:t>
      </w:r>
    </w:p>
    <w:p>
      <w:pPr>
        <w:ind w:left="720"/>
        <w:rPr>
          <w:rFonts w:eastAsia="DFKai-SB"/>
          <w:bCs/>
        </w:rPr>
      </w:pPr>
    </w:p>
    <w:p>
      <w:pPr>
        <w:numPr>
          <w:ilvl w:val="0"/>
          <w:numId w:val="7"/>
        </w:numPr>
        <w:rPr>
          <w:rFonts w:eastAsia="DFKai-SB"/>
          <w:bCs/>
        </w:rPr>
      </w:pPr>
      <w:r>
        <w:rPr>
          <w:rFonts w:hint="eastAsia" w:eastAsia="DFKai-SB"/>
          <w:bCs/>
        </w:rPr>
        <w:t>眾投資方協商一致終止投資協議；</w:t>
      </w:r>
    </w:p>
    <w:p>
      <w:pPr>
        <w:ind w:left="720"/>
        <w:jc w:val="both"/>
        <w:rPr>
          <w:rFonts w:eastAsia="DFKai-SB"/>
          <w:bCs/>
        </w:rPr>
      </w:pPr>
    </w:p>
    <w:p>
      <w:pPr>
        <w:numPr>
          <w:ilvl w:val="0"/>
          <w:numId w:val="7"/>
        </w:numPr>
        <w:jc w:val="both"/>
        <w:rPr>
          <w:rFonts w:eastAsia="DFKai-SB"/>
          <w:bCs/>
        </w:rPr>
      </w:pPr>
      <w:r>
        <w:rPr>
          <w:rFonts w:hint="eastAsia" w:eastAsia="DFKai-SB"/>
          <w:bCs/>
        </w:rPr>
        <w:t>如違約投資方的違約行為對投資協議的履行造成重大不利影響，導致投資協議目的無法實現的，全體守約投資方經協商一致，可以向違約投資方發出書面通知終止投資協議，該通知自送達違約投資方之日起生效。</w:t>
      </w:r>
    </w:p>
    <w:p>
      <w:pPr>
        <w:jc w:val="both"/>
        <w:rPr>
          <w:rFonts w:eastAsia="DFKai-SB"/>
          <w:bCs/>
        </w:rPr>
      </w:pPr>
    </w:p>
    <w:p>
      <w:pPr>
        <w:jc w:val="both"/>
        <w:rPr>
          <w:rFonts w:eastAsia="DFKai-SB"/>
          <w:bCs/>
        </w:rPr>
      </w:pPr>
      <w:r>
        <w:rPr>
          <w:rFonts w:hint="eastAsia" w:eastAsia="DFKai-SB"/>
          <w:bCs/>
        </w:rPr>
        <w:t>投資協議在新華健康成立後自發生下列事件之一時終止：</w:t>
      </w:r>
    </w:p>
    <w:p>
      <w:pPr>
        <w:ind w:left="720"/>
        <w:jc w:val="both"/>
        <w:rPr>
          <w:rFonts w:eastAsia="DFKai-SB"/>
          <w:bCs/>
        </w:rPr>
      </w:pPr>
    </w:p>
    <w:p>
      <w:pPr>
        <w:numPr>
          <w:ilvl w:val="0"/>
          <w:numId w:val="8"/>
        </w:numPr>
        <w:jc w:val="both"/>
        <w:rPr>
          <w:rFonts w:eastAsia="DFKai-SB"/>
          <w:bCs/>
        </w:rPr>
      </w:pPr>
      <w:r>
        <w:rPr>
          <w:rFonts w:hint="eastAsia" w:eastAsia="DFKai-SB"/>
          <w:bCs/>
        </w:rPr>
        <w:t>新華健康發生公司章程項下規定的解散事由；</w:t>
      </w:r>
    </w:p>
    <w:p>
      <w:pPr>
        <w:numPr>
          <w:ilvl w:val="0"/>
          <w:numId w:val="8"/>
        </w:numPr>
        <w:jc w:val="both"/>
        <w:rPr>
          <w:rFonts w:eastAsia="DFKai-SB"/>
          <w:bCs/>
        </w:rPr>
      </w:pPr>
      <w:r>
        <w:rPr>
          <w:rFonts w:hint="eastAsia" w:eastAsia="DFKai-SB"/>
          <w:bCs/>
        </w:rPr>
        <w:t>發生投資協定簽署時眾投資方未曾預期的情勢變更，嚴重影響到新華健康正常經營，各投資方履行法定和約定的義務後，可以終止投資協議；</w:t>
      </w:r>
    </w:p>
    <w:p>
      <w:pPr>
        <w:numPr>
          <w:ilvl w:val="0"/>
          <w:numId w:val="8"/>
        </w:numPr>
        <w:jc w:val="both"/>
        <w:rPr>
          <w:rFonts w:eastAsia="DFKai-SB"/>
          <w:bCs/>
        </w:rPr>
      </w:pPr>
      <w:r>
        <w:rPr>
          <w:rFonts w:hint="eastAsia" w:eastAsia="DFKai-SB"/>
          <w:bCs/>
        </w:rPr>
        <w:t>如新華健康未能在其成立後的</w:t>
      </w:r>
      <w:r>
        <w:rPr>
          <w:rFonts w:eastAsia="DFKai-SB"/>
          <w:bCs/>
        </w:rPr>
        <w:t>6</w:t>
      </w:r>
      <w:r>
        <w:rPr>
          <w:rFonts w:hint="eastAsia" w:eastAsia="DFKai-SB"/>
          <w:bCs/>
        </w:rPr>
        <w:t>個月內獲得相關業務開展所需的生產許可或相關資質等，經新華健康的股東大會以特別決議通過有關新華健康解散的決議，則可以終止本協議。</w:t>
      </w:r>
    </w:p>
    <w:p>
      <w:pPr>
        <w:jc w:val="both"/>
        <w:rPr>
          <w:rFonts w:eastAsia="DFKai-SB"/>
          <w:b/>
          <w:bCs/>
          <w:color w:val="231F20"/>
          <w:spacing w:val="4"/>
        </w:rPr>
      </w:pPr>
      <w:r>
        <w:rPr>
          <w:rFonts w:hint="eastAsia" w:eastAsia="DFKai-SB"/>
          <w:b/>
          <w:bCs/>
          <w:color w:val="231F20"/>
          <w:spacing w:val="4"/>
        </w:rPr>
        <w:t>訂立關連交易之理由及好處</w:t>
      </w:r>
    </w:p>
    <w:p>
      <w:pPr>
        <w:pStyle w:val="5"/>
        <w:snapToGrid w:val="0"/>
        <w:jc w:val="both"/>
        <w:rPr>
          <w:rFonts w:ascii="Times New Roman" w:hAnsi="Times New Roman" w:eastAsiaTheme="minorEastAsia"/>
          <w:sz w:val="22"/>
          <w:highlight w:val="yellow"/>
        </w:rPr>
      </w:pPr>
      <w:r>
        <w:rPr>
          <w:rFonts w:hint="eastAsia" w:eastAsia="DFKai-SB"/>
          <w:bCs/>
          <w:lang w:eastAsia="zh-HK"/>
        </w:rPr>
        <w:t>透過汲取若干投資</w:t>
      </w:r>
      <w:r>
        <w:rPr>
          <w:rFonts w:hint="eastAsia" w:eastAsia="DFKai-SB"/>
          <w:bCs/>
        </w:rPr>
        <w:t>方在網路運營的經驗</w:t>
      </w:r>
      <w:r>
        <w:rPr>
          <w:rFonts w:hint="eastAsia" w:eastAsia="DFKai-SB"/>
          <w:bCs/>
          <w:lang w:eastAsia="zh-HK"/>
        </w:rPr>
        <w:t>，成立</w:t>
      </w:r>
      <w:r>
        <w:rPr>
          <w:rFonts w:hint="eastAsia" w:eastAsia="DFKai-SB"/>
          <w:bCs/>
        </w:rPr>
        <w:t>新華</w:t>
      </w:r>
      <w:r>
        <w:rPr>
          <w:rFonts w:hint="eastAsia" w:eastAsia="DFKai-SB"/>
          <w:bCs/>
          <w:lang w:eastAsia="zh-HK"/>
        </w:rPr>
        <w:t>健康預期會</w:t>
      </w:r>
      <w:r>
        <w:rPr>
          <w:rFonts w:hint="eastAsia" w:eastAsia="DFKai-SB"/>
          <w:bCs/>
        </w:rPr>
        <w:t>加快本公司的電商業務發展，從而擴大業務規模，提高本公司的市場地位。新華健康的成立</w:t>
      </w:r>
      <w:r>
        <w:rPr>
          <w:rFonts w:hint="eastAsia" w:eastAsia="DFKai-SB"/>
          <w:bCs/>
          <w:lang w:eastAsia="zh-HK"/>
        </w:rPr>
        <w:t>亦</w:t>
      </w:r>
      <w:r>
        <w:rPr>
          <w:rFonts w:hint="eastAsia" w:eastAsia="DFKai-SB"/>
          <w:bCs/>
        </w:rPr>
        <w:t>有利於本公司持續高品質產品的發展，提升本公司的價值創造能力</w:t>
      </w:r>
      <w:r>
        <w:rPr>
          <w:rFonts w:hint="eastAsia" w:eastAsia="DFKai-SB"/>
          <w:bCs/>
          <w:lang w:val="zh-CN"/>
        </w:rPr>
        <w:t>。</w:t>
      </w:r>
      <w:r>
        <w:rPr>
          <w:rFonts w:hint="eastAsia" w:eastAsia="DFKai-SB"/>
          <w:bCs/>
          <w:lang w:val="zh-CN" w:eastAsia="zh-HK"/>
        </w:rPr>
        <w:t>另外，透過與</w:t>
      </w:r>
      <w:r>
        <w:rPr>
          <w:rFonts w:hint="eastAsia" w:eastAsia="DFKai-SB"/>
          <w:bCs/>
          <w:lang w:val="zh-CN"/>
        </w:rPr>
        <w:t>有經驗的其他投資方合作發展新電商業務，公司也</w:t>
      </w:r>
      <w:r>
        <w:rPr>
          <w:rFonts w:hint="eastAsia" w:eastAsia="DFKai-SB"/>
          <w:bCs/>
          <w:lang w:val="zh-CN" w:eastAsia="zh-HK"/>
        </w:rPr>
        <w:t>無</w:t>
      </w:r>
      <w:r>
        <w:rPr>
          <w:rFonts w:hint="eastAsia" w:eastAsia="DFKai-SB"/>
          <w:bCs/>
          <w:lang w:val="zh-CN"/>
        </w:rPr>
        <w:t>需</w:t>
      </w:r>
      <w:r>
        <w:rPr>
          <w:rFonts w:hint="eastAsia" w:eastAsia="DFKai-SB"/>
          <w:bCs/>
          <w:lang w:val="zh-CN" w:eastAsia="zh-HK"/>
        </w:rPr>
        <w:t>在</w:t>
      </w:r>
      <w:r>
        <w:rPr>
          <w:rFonts w:hint="eastAsia" w:eastAsia="DFKai-SB"/>
          <w:bCs/>
          <w:lang w:val="zh-CN"/>
        </w:rPr>
        <w:t>初</w:t>
      </w:r>
      <w:r>
        <w:rPr>
          <w:rFonts w:hint="eastAsia" w:eastAsia="DFKai-SB"/>
          <w:bCs/>
          <w:lang w:val="zh-CN" w:eastAsia="zh-HK"/>
        </w:rPr>
        <w:t>發展其</w:t>
      </w:r>
      <w:r>
        <w:rPr>
          <w:rFonts w:hint="eastAsia" w:eastAsia="DFKai-SB"/>
          <w:bCs/>
          <w:lang w:val="zh-CN"/>
        </w:rPr>
        <w:t>新電商業務時投資大量資金</w:t>
      </w:r>
      <w:r>
        <w:rPr>
          <w:rFonts w:hint="eastAsia" w:eastAsia="DFKai-SB"/>
          <w:bCs/>
          <w:lang w:val="zh-CN" w:eastAsia="zh-HK"/>
        </w:rPr>
        <w:t>。</w:t>
      </w:r>
    </w:p>
    <w:p>
      <w:pPr>
        <w:pStyle w:val="5"/>
        <w:snapToGrid w:val="0"/>
        <w:jc w:val="both"/>
        <w:rPr>
          <w:rFonts w:ascii="Times New Roman" w:hAnsi="Times New Roman" w:eastAsia="PMingLiU"/>
          <w:i/>
          <w:sz w:val="22"/>
        </w:rPr>
      </w:pPr>
      <w:r>
        <w:rPr>
          <w:rFonts w:hint="eastAsia" w:eastAsia="DFKai-SB"/>
          <w:bCs/>
          <w:lang w:val="zh-CN"/>
        </w:rPr>
        <w:t>董事</w:t>
      </w:r>
      <w:r>
        <w:rPr>
          <w:rFonts w:hint="eastAsia" w:ascii="Times New Roman" w:hAnsi="Times New Roman" w:eastAsia="DFKai-SB"/>
          <w:bCs/>
          <w:szCs w:val="24"/>
          <w:lang w:val="zh-CN"/>
        </w:rPr>
        <w:t>會及獨立非執行董事</w:t>
      </w:r>
      <w:r>
        <w:rPr>
          <w:rFonts w:hint="eastAsia" w:eastAsia="DFKai-SB"/>
          <w:bCs/>
          <w:lang w:val="zh-CN"/>
        </w:rPr>
        <w:t>（不包括</w:t>
      </w:r>
      <w:r>
        <w:rPr>
          <w:rFonts w:hint="eastAsia" w:ascii="Times New Roman" w:hAnsi="Times New Roman" w:eastAsia="DFKai-SB"/>
          <w:bCs/>
          <w:szCs w:val="24"/>
        </w:rPr>
        <w:t>張代銘先生、任福龍先生及徐列先生</w:t>
      </w:r>
      <w:r>
        <w:rPr>
          <w:rFonts w:hint="eastAsia" w:ascii="Times New Roman" w:hAnsi="Times New Roman" w:eastAsia="DFKai-SB"/>
          <w:bCs/>
          <w:szCs w:val="24"/>
          <w:lang w:val="zh-CN"/>
        </w:rPr>
        <w:t>，由於彼</w:t>
      </w:r>
      <w:r>
        <w:rPr>
          <w:rFonts w:hint="eastAsia" w:eastAsia="DFKai-SB"/>
          <w:bCs/>
          <w:lang w:val="zh-CN"/>
        </w:rPr>
        <w:t>等各自於華魯控股附屬公司之董事職務或管理層成員之職位，被認為於投資協議中擁有重大權益，因此須就有關投資協議的相關董事會決議案放棄投票）已考慮並審閱投資協議的條款，認為投資協議乃按公平原則於日常及正常業務過程中訂立，而據此進行之交易屬一般商業條款，公平合理，並符合本公司及股東之整體利益。</w:t>
      </w:r>
    </w:p>
    <w:p>
      <w:pPr>
        <w:jc w:val="both"/>
        <w:rPr>
          <w:rFonts w:eastAsia="DengXian"/>
          <w:b/>
          <w:lang w:val="zh-CN"/>
        </w:rPr>
      </w:pPr>
      <w:r>
        <w:rPr>
          <w:rFonts w:hint="eastAsia" w:eastAsia="DFKai-SB"/>
          <w:b/>
          <w:lang w:val="zh-CN"/>
        </w:rPr>
        <w:t>與關連人士的關係</w:t>
      </w:r>
    </w:p>
    <w:p>
      <w:pPr>
        <w:autoSpaceDE w:val="0"/>
        <w:autoSpaceDN w:val="0"/>
        <w:adjustRightInd w:val="0"/>
        <w:ind w:right="49"/>
        <w:jc w:val="both"/>
        <w:rPr>
          <w:rFonts w:eastAsia="DFKai-SB"/>
          <w:bCs/>
          <w:color w:val="231F20"/>
          <w:spacing w:val="4"/>
          <w:lang w:eastAsia="zh-HK"/>
        </w:rPr>
      </w:pPr>
      <w:r>
        <w:rPr>
          <w:rFonts w:hint="eastAsia" w:eastAsia="DFKai-SB"/>
          <w:bCs/>
          <w:color w:val="231F20"/>
          <w:spacing w:val="4"/>
        </w:rPr>
        <w:t>華魯控股為本公司的控股股東，並直接及間接地實益擁有本公司全部已發行股本約</w:t>
      </w:r>
      <w:r>
        <w:rPr>
          <w:rFonts w:hint="eastAsia" w:eastAsia="宋体"/>
          <w:bCs/>
          <w:color w:val="231F20"/>
          <w:spacing w:val="4"/>
        </w:rPr>
        <w:t>36.96</w:t>
      </w:r>
      <w:r>
        <w:rPr>
          <w:rFonts w:eastAsia="DFKai-SB"/>
          <w:bCs/>
          <w:color w:val="231F20"/>
          <w:spacing w:val="4"/>
        </w:rPr>
        <w:t>%</w:t>
      </w:r>
      <w:r>
        <w:rPr>
          <w:rFonts w:hint="eastAsia" w:eastAsia="DFKai-SB"/>
          <w:bCs/>
          <w:color w:val="231F20"/>
          <w:spacing w:val="4"/>
        </w:rPr>
        <w:t>。華魯投資為華魯控股之全資附屬公司，故為本公司之關連人士。因此，根據上市規則第</w:t>
      </w:r>
      <w:r>
        <w:rPr>
          <w:rFonts w:eastAsia="DFKai-SB"/>
          <w:bCs/>
          <w:color w:val="231F20"/>
          <w:spacing w:val="4"/>
        </w:rPr>
        <w:t>14A</w:t>
      </w:r>
      <w:r>
        <w:rPr>
          <w:rFonts w:hint="eastAsia" w:eastAsia="DFKai-SB"/>
          <w:bCs/>
          <w:color w:val="231F20"/>
          <w:spacing w:val="4"/>
        </w:rPr>
        <w:t>章，投資協議和據此進行的交易構成本公司之關連交易。</w:t>
      </w:r>
    </w:p>
    <w:p>
      <w:pPr>
        <w:autoSpaceDE w:val="0"/>
        <w:autoSpaceDN w:val="0"/>
        <w:adjustRightInd w:val="0"/>
        <w:ind w:right="49"/>
        <w:jc w:val="both"/>
        <w:rPr>
          <w:rFonts w:eastAsia="DFKai-SB"/>
          <w:bCs/>
          <w:color w:val="231F20"/>
          <w:spacing w:val="4"/>
          <w:lang w:eastAsia="zh-HK"/>
        </w:rPr>
      </w:pPr>
    </w:p>
    <w:p>
      <w:pPr>
        <w:jc w:val="both"/>
        <w:rPr>
          <w:rFonts w:eastAsia="DengXian"/>
          <w:b/>
          <w:lang w:val="zh-CN"/>
        </w:rPr>
      </w:pPr>
      <w:r>
        <w:rPr>
          <w:rFonts w:hint="eastAsia" w:eastAsia="DFKai-SB"/>
          <w:b/>
          <w:lang w:val="zh-CN"/>
        </w:rPr>
        <w:t>上市規則涵義</w:t>
      </w:r>
    </w:p>
    <w:p>
      <w:pPr>
        <w:autoSpaceDE w:val="0"/>
        <w:autoSpaceDN w:val="0"/>
        <w:adjustRightInd w:val="0"/>
        <w:ind w:right="49"/>
        <w:jc w:val="both"/>
        <w:rPr>
          <w:rFonts w:eastAsia="DFKai-SB"/>
          <w:bCs/>
          <w:color w:val="231F20"/>
          <w:spacing w:val="4"/>
          <w:lang w:eastAsia="zh-HK"/>
        </w:rPr>
      </w:pPr>
      <w:r>
        <w:rPr>
          <w:rFonts w:hint="eastAsia" w:eastAsia="DFKai-SB"/>
          <w:bCs/>
          <w:color w:val="231F20"/>
          <w:spacing w:val="4"/>
        </w:rPr>
        <w:t>由於有關該投資協議的各項適用百分比率（定義見上市規則）超過</w:t>
      </w:r>
      <w:r>
        <w:rPr>
          <w:rFonts w:eastAsia="DFKai-SB"/>
          <w:bCs/>
          <w:color w:val="231F20"/>
          <w:spacing w:val="4"/>
        </w:rPr>
        <w:t>0.1%</w:t>
      </w:r>
      <w:r>
        <w:rPr>
          <w:rFonts w:hint="eastAsia" w:eastAsia="DFKai-SB"/>
          <w:bCs/>
          <w:color w:val="231F20"/>
          <w:spacing w:val="4"/>
        </w:rPr>
        <w:t>但少於</w:t>
      </w:r>
      <w:r>
        <w:rPr>
          <w:rFonts w:eastAsia="DFKai-SB"/>
          <w:bCs/>
          <w:color w:val="231F20"/>
          <w:spacing w:val="4"/>
        </w:rPr>
        <w:t>5%</w:t>
      </w:r>
      <w:r>
        <w:rPr>
          <w:rFonts w:hint="eastAsia" w:eastAsia="DFKai-SB"/>
          <w:bCs/>
          <w:color w:val="231F20"/>
          <w:spacing w:val="4"/>
        </w:rPr>
        <w:t>，根據上市規則第</w:t>
      </w:r>
      <w:r>
        <w:rPr>
          <w:rFonts w:eastAsia="DFKai-SB"/>
          <w:bCs/>
          <w:color w:val="231F20"/>
          <w:spacing w:val="4"/>
        </w:rPr>
        <w:t>14A</w:t>
      </w:r>
      <w:r>
        <w:rPr>
          <w:rFonts w:hint="eastAsia" w:eastAsia="DFKai-SB"/>
          <w:bCs/>
          <w:color w:val="231F20"/>
          <w:spacing w:val="4"/>
        </w:rPr>
        <w:t>章，據此進行的關連交易須遵守申報及公告的規定，惟獲豁免遵守通函（包括獨立財務意見）及獨立股東批准的規定。</w:t>
      </w:r>
    </w:p>
    <w:p>
      <w:pPr>
        <w:jc w:val="both"/>
        <w:rPr>
          <w:rFonts w:eastAsia="DFKai-SB"/>
          <w:bCs/>
          <w:lang w:val="zh-CN"/>
        </w:rPr>
      </w:pPr>
    </w:p>
    <w:p>
      <w:pPr>
        <w:jc w:val="both"/>
        <w:rPr>
          <w:rFonts w:eastAsia="DFKai-SB"/>
          <w:b/>
          <w:lang w:val="zh-CN"/>
        </w:rPr>
      </w:pPr>
      <w:r>
        <w:rPr>
          <w:rFonts w:hint="eastAsia" w:eastAsia="DFKai-SB"/>
          <w:b/>
          <w:lang w:val="zh-CN"/>
        </w:rPr>
        <w:t>有關訂約方及關連人士之資料</w:t>
      </w:r>
    </w:p>
    <w:p>
      <w:pPr>
        <w:jc w:val="both"/>
        <w:rPr>
          <w:rFonts w:eastAsia="DFKai-SB"/>
          <w:b/>
          <w:bCs/>
          <w:lang w:val="zh-CN"/>
        </w:rPr>
      </w:pPr>
      <w:r>
        <w:rPr>
          <w:rFonts w:hint="eastAsia" w:eastAsia="DFKai-SB"/>
          <w:b/>
          <w:bCs/>
          <w:lang w:val="zh-CN"/>
        </w:rPr>
        <w:t>本公司</w:t>
      </w:r>
    </w:p>
    <w:p>
      <w:pPr>
        <w:jc w:val="both"/>
        <w:rPr>
          <w:rFonts w:eastAsia="DFKai-SB"/>
          <w:bCs/>
          <w:lang w:val="zh-CN"/>
        </w:rPr>
      </w:pPr>
      <w:r>
        <w:rPr>
          <w:rFonts w:hint="eastAsia" w:eastAsia="DFKai-SB"/>
          <w:bCs/>
          <w:lang w:val="zh-CN"/>
        </w:rPr>
        <w:t>本公司為一家於中國註冊成立之股份有限公司，其</w:t>
      </w:r>
      <w:r>
        <w:rPr>
          <w:rFonts w:eastAsia="DFKai-SB"/>
          <w:bCs/>
          <w:lang w:val="zh-CN"/>
        </w:rPr>
        <w:t xml:space="preserve"> H </w:t>
      </w:r>
      <w:r>
        <w:rPr>
          <w:rFonts w:hint="eastAsia" w:eastAsia="DFKai-SB"/>
          <w:bCs/>
          <w:lang w:val="zh-CN"/>
        </w:rPr>
        <w:t>股及</w:t>
      </w:r>
      <w:r>
        <w:rPr>
          <w:rFonts w:eastAsia="DFKai-SB"/>
          <w:bCs/>
          <w:lang w:val="zh-CN"/>
        </w:rPr>
        <w:t xml:space="preserve"> A </w:t>
      </w:r>
      <w:r>
        <w:rPr>
          <w:rFonts w:hint="eastAsia" w:eastAsia="DFKai-SB"/>
          <w:bCs/>
          <w:lang w:val="zh-CN"/>
        </w:rPr>
        <w:t>股份別於聯交所及深圳證券交易所上市。本公司主要從事開發、製造及銷售化學原料藥、製劑以及化工產品。</w:t>
      </w:r>
    </w:p>
    <w:p>
      <w:pPr>
        <w:jc w:val="both"/>
        <w:rPr>
          <w:rFonts w:eastAsia="DFKai-SB"/>
          <w:bCs/>
          <w:lang w:val="zh-CN"/>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華魯控股</w:t>
      </w:r>
    </w:p>
    <w:p>
      <w:pPr>
        <w:pStyle w:val="5"/>
        <w:snapToGrid w:val="0"/>
        <w:jc w:val="both"/>
        <w:rPr>
          <w:rFonts w:ascii="Times New Roman" w:hAnsi="Times New Roman" w:eastAsia="DFKai-SB"/>
          <w:bCs/>
          <w:szCs w:val="24"/>
          <w:lang w:val="zh-CN"/>
        </w:rPr>
      </w:pPr>
      <w:r>
        <w:rPr>
          <w:rFonts w:hint="eastAsia" w:ascii="Times New Roman" w:hAnsi="Times New Roman" w:eastAsia="DFKai-SB"/>
          <w:szCs w:val="24"/>
        </w:rPr>
        <w:t>華魯控股</w:t>
      </w:r>
      <w:r>
        <w:rPr>
          <w:rFonts w:hint="eastAsia" w:ascii="Times New Roman" w:hAnsi="Times New Roman" w:eastAsia="DFKai-SB"/>
          <w:bCs/>
          <w:szCs w:val="24"/>
          <w:lang w:val="zh-CN"/>
        </w:rPr>
        <w:t>為一家國有企業，主要從事投資控股多家中國內地及香港交易所上市或未上市的公司。</w:t>
      </w:r>
    </w:p>
    <w:p>
      <w:pPr>
        <w:pStyle w:val="5"/>
        <w:snapToGrid w:val="0"/>
        <w:jc w:val="both"/>
        <w:rPr>
          <w:rFonts w:ascii="Times New Roman" w:hAnsi="Times New Roman" w:eastAsia="DFKai-SB"/>
          <w:bCs/>
          <w:szCs w:val="24"/>
          <w:lang w:val="zh-CN"/>
        </w:rPr>
      </w:pPr>
    </w:p>
    <w:p>
      <w:pPr>
        <w:pStyle w:val="5"/>
        <w:snapToGrid w:val="0"/>
        <w:jc w:val="both"/>
        <w:rPr>
          <w:rFonts w:ascii="Times New Roman" w:hAnsi="Times New Roman" w:eastAsia="DFKai-SB"/>
          <w:bCs/>
          <w:szCs w:val="24"/>
        </w:rPr>
      </w:pPr>
      <w:r>
        <w:rPr>
          <w:rFonts w:hint="eastAsia" w:ascii="Times New Roman" w:hAnsi="Times New Roman" w:eastAsia="DFKai-SB"/>
          <w:b/>
          <w:bCs/>
          <w:szCs w:val="24"/>
        </w:rPr>
        <w:t>華魯投資</w:t>
      </w:r>
    </w:p>
    <w:p>
      <w:pPr>
        <w:pStyle w:val="5"/>
        <w:snapToGrid w:val="0"/>
        <w:jc w:val="both"/>
        <w:rPr>
          <w:rFonts w:ascii="Times New Roman" w:hAnsi="Times New Roman" w:eastAsia="DFKai-SB"/>
          <w:bCs/>
          <w:szCs w:val="24"/>
        </w:rPr>
      </w:pPr>
      <w:r>
        <w:rPr>
          <w:rFonts w:hint="eastAsia" w:ascii="Times New Roman" w:hAnsi="Times New Roman" w:eastAsia="DFKai-SB"/>
          <w:bCs/>
          <w:szCs w:val="24"/>
        </w:rPr>
        <w:t>華魯投資為一家於中國註冊成立之有限責任公司，主營業務為以自有資金對外投資及管理、投資諮詢。</w:t>
      </w:r>
    </w:p>
    <w:p>
      <w:pPr>
        <w:pStyle w:val="5"/>
        <w:snapToGrid w:val="0"/>
        <w:jc w:val="both"/>
        <w:rPr>
          <w:rFonts w:ascii="Times New Roman" w:hAnsi="Times New Roman" w:eastAsia="DFKai-SB"/>
          <w:bCs/>
          <w:szCs w:val="24"/>
          <w:highlight w:val="yellow"/>
        </w:rPr>
      </w:pPr>
    </w:p>
    <w:p>
      <w:pPr>
        <w:pStyle w:val="5"/>
        <w:snapToGrid w:val="0"/>
        <w:jc w:val="both"/>
        <w:rPr>
          <w:rFonts w:eastAsia="DFKai-SB"/>
          <w:b/>
          <w:bCs/>
          <w:color w:val="231F20"/>
          <w:spacing w:val="4"/>
          <w:lang w:eastAsia="zh-HK"/>
        </w:rPr>
      </w:pPr>
      <w:r>
        <w:rPr>
          <w:rFonts w:hint="eastAsia" w:eastAsia="DFKai-SB"/>
          <w:b/>
          <w:bCs/>
          <w:color w:val="231F20"/>
          <w:spacing w:val="4"/>
        </w:rPr>
        <w:t>華啟創聯</w:t>
      </w:r>
    </w:p>
    <w:p>
      <w:pPr>
        <w:pStyle w:val="5"/>
        <w:snapToGrid w:val="0"/>
        <w:jc w:val="both"/>
        <w:rPr>
          <w:rFonts w:ascii="Times New Roman" w:hAnsi="Times New Roman" w:eastAsia="DFKai-SB"/>
          <w:bCs/>
          <w:szCs w:val="24"/>
          <w:lang w:eastAsia="zh-HK"/>
        </w:rPr>
      </w:pPr>
      <w:r>
        <w:rPr>
          <w:rFonts w:hint="eastAsia" w:eastAsia="DFKai-SB"/>
          <w:bCs/>
          <w:color w:val="231F20"/>
          <w:spacing w:val="4"/>
        </w:rPr>
        <w:t>華啟創聯</w:t>
      </w:r>
      <w:r>
        <w:rPr>
          <w:rFonts w:hint="eastAsia" w:ascii="Times New Roman" w:hAnsi="Times New Roman" w:eastAsia="DFKai-SB"/>
          <w:bCs/>
          <w:szCs w:val="24"/>
        </w:rPr>
        <w:t>為一家於中國註冊成立之有限合夥企業，</w:t>
      </w:r>
      <w:r>
        <w:rPr>
          <w:rFonts w:hint="eastAsia" w:ascii="Times New Roman" w:hAnsi="Times New Roman" w:eastAsia="DFKai-SB"/>
          <w:bCs/>
          <w:szCs w:val="24"/>
          <w:lang w:val="zh-CN"/>
        </w:rPr>
        <w:t>主要(i)</w:t>
      </w:r>
      <w:r>
        <w:rPr>
          <w:rFonts w:ascii="Times New Roman" w:hAnsi="Times New Roman" w:eastAsia="DFKai-SB"/>
          <w:bCs/>
          <w:szCs w:val="24"/>
        </w:rPr>
        <w:t xml:space="preserve"> </w:t>
      </w:r>
      <w:r>
        <w:rPr>
          <w:rFonts w:hint="eastAsia" w:ascii="Times New Roman" w:hAnsi="Times New Roman" w:eastAsia="DFKai-SB"/>
          <w:bCs/>
          <w:szCs w:val="24"/>
        </w:rPr>
        <w:t>以自有資金從事投資活動；</w:t>
      </w:r>
      <w:r>
        <w:rPr>
          <w:rFonts w:hint="eastAsia" w:ascii="Times New Roman" w:hAnsi="Times New Roman" w:eastAsia="DFKai-SB"/>
          <w:bCs/>
          <w:szCs w:val="24"/>
          <w:lang w:val="zh-CN"/>
        </w:rPr>
        <w:t>(i</w:t>
      </w:r>
      <w:r>
        <w:rPr>
          <w:rFonts w:ascii="Times New Roman" w:hAnsi="Times New Roman" w:eastAsia="DengXian"/>
          <w:bCs/>
          <w:szCs w:val="24"/>
          <w:lang w:val="zh-CN"/>
        </w:rPr>
        <w:t>i</w:t>
      </w:r>
      <w:r>
        <w:rPr>
          <w:rFonts w:hint="eastAsia" w:ascii="Times New Roman" w:hAnsi="Times New Roman" w:eastAsia="DFKai-SB"/>
          <w:bCs/>
          <w:szCs w:val="24"/>
          <w:lang w:val="zh-CN"/>
        </w:rPr>
        <w:t>)</w:t>
      </w:r>
      <w:r>
        <w:rPr>
          <w:rFonts w:ascii="Times New Roman" w:hAnsi="Times New Roman" w:eastAsia="DFKai-SB"/>
          <w:bCs/>
          <w:szCs w:val="24"/>
        </w:rPr>
        <w:t xml:space="preserve"> </w:t>
      </w:r>
      <w:r>
        <w:rPr>
          <w:rFonts w:hint="eastAsia" w:ascii="Times New Roman" w:hAnsi="Times New Roman" w:eastAsia="DFKai-SB"/>
          <w:bCs/>
          <w:szCs w:val="24"/>
        </w:rPr>
        <w:t>以私募基金從事股權投資、投資管理、資產管理等活動；</w:t>
      </w:r>
      <w:r>
        <w:rPr>
          <w:rFonts w:hint="eastAsia" w:ascii="Times New Roman" w:hAnsi="Times New Roman" w:eastAsia="DFKai-SB"/>
          <w:bCs/>
          <w:szCs w:val="24"/>
          <w:lang w:val="zh-CN"/>
        </w:rPr>
        <w:t>(</w:t>
      </w:r>
      <w:r>
        <w:rPr>
          <w:rFonts w:ascii="Times New Roman" w:hAnsi="Times New Roman" w:eastAsia="DengXian"/>
          <w:bCs/>
          <w:szCs w:val="24"/>
          <w:lang w:val="zh-CN"/>
        </w:rPr>
        <w:t>ii</w:t>
      </w:r>
      <w:r>
        <w:rPr>
          <w:rFonts w:hint="eastAsia" w:ascii="Times New Roman" w:hAnsi="Times New Roman" w:eastAsia="DFKai-SB"/>
          <w:bCs/>
          <w:szCs w:val="24"/>
          <w:lang w:val="zh-CN"/>
        </w:rPr>
        <w:t>i)</w:t>
      </w:r>
      <w:r>
        <w:rPr>
          <w:rFonts w:ascii="Times New Roman" w:hAnsi="Times New Roman" w:eastAsia="DFKai-SB"/>
          <w:bCs/>
          <w:szCs w:val="24"/>
        </w:rPr>
        <w:t xml:space="preserve"> </w:t>
      </w:r>
      <w:r>
        <w:rPr>
          <w:rFonts w:hint="eastAsia" w:ascii="Times New Roman" w:hAnsi="Times New Roman" w:eastAsia="DFKai-SB"/>
          <w:bCs/>
          <w:szCs w:val="24"/>
        </w:rPr>
        <w:t>自有資金投資的資產管理服務；</w:t>
      </w:r>
      <w:r>
        <w:rPr>
          <w:rFonts w:hint="eastAsia" w:ascii="Times New Roman" w:hAnsi="Times New Roman" w:eastAsia="DFKai-SB"/>
          <w:bCs/>
          <w:szCs w:val="24"/>
          <w:lang w:eastAsia="zh-HK"/>
        </w:rPr>
        <w:t>及</w:t>
      </w:r>
      <w:r>
        <w:rPr>
          <w:rFonts w:hint="eastAsia" w:ascii="Times New Roman" w:hAnsi="Times New Roman" w:eastAsia="DFKai-SB"/>
          <w:bCs/>
          <w:szCs w:val="24"/>
          <w:lang w:val="zh-CN"/>
        </w:rPr>
        <w:t>(i</w:t>
      </w:r>
      <w:r>
        <w:rPr>
          <w:rFonts w:ascii="Times New Roman" w:hAnsi="Times New Roman" w:eastAsia="DFKai-SB"/>
          <w:bCs/>
          <w:szCs w:val="24"/>
        </w:rPr>
        <w:t>v</w:t>
      </w:r>
      <w:r>
        <w:rPr>
          <w:rFonts w:hint="eastAsia" w:ascii="Times New Roman" w:hAnsi="Times New Roman" w:eastAsia="DFKai-SB"/>
          <w:bCs/>
          <w:szCs w:val="24"/>
          <w:lang w:val="zh-CN"/>
        </w:rPr>
        <w:t>)</w:t>
      </w:r>
      <w:r>
        <w:rPr>
          <w:rFonts w:ascii="Times New Roman" w:hAnsi="Times New Roman" w:eastAsia="DFKai-SB"/>
          <w:bCs/>
          <w:szCs w:val="24"/>
        </w:rPr>
        <w:t xml:space="preserve"> </w:t>
      </w:r>
      <w:r>
        <w:rPr>
          <w:rFonts w:hint="eastAsia" w:ascii="Times New Roman" w:hAnsi="Times New Roman" w:eastAsia="DFKai-SB"/>
          <w:bCs/>
          <w:szCs w:val="24"/>
        </w:rPr>
        <w:t>企業管理諮詢。</w:t>
      </w:r>
    </w:p>
    <w:p>
      <w:pPr>
        <w:pStyle w:val="5"/>
        <w:snapToGrid w:val="0"/>
        <w:jc w:val="both"/>
        <w:rPr>
          <w:rFonts w:ascii="Times New Roman" w:hAnsi="Times New Roman" w:eastAsia="DFKai-SB"/>
          <w:bCs/>
          <w:szCs w:val="24"/>
          <w:highlight w:val="yellow"/>
        </w:rPr>
      </w:pPr>
    </w:p>
    <w:p>
      <w:pPr>
        <w:pStyle w:val="5"/>
        <w:snapToGrid w:val="0"/>
        <w:jc w:val="both"/>
        <w:rPr>
          <w:rFonts w:ascii="Times New Roman" w:hAnsi="Times New Roman" w:eastAsia="DFKai-SB"/>
          <w:bCs/>
          <w:szCs w:val="24"/>
          <w:lang w:eastAsia="zh-HK"/>
        </w:rPr>
      </w:pPr>
      <w:r>
        <w:rPr>
          <w:rFonts w:hint="eastAsia" w:ascii="Times New Roman" w:hAnsi="Times New Roman" w:eastAsia="DFKai-SB"/>
          <w:b/>
          <w:szCs w:val="24"/>
        </w:rPr>
        <w:t>海南鑫壘</w:t>
      </w:r>
    </w:p>
    <w:p>
      <w:pPr>
        <w:pStyle w:val="5"/>
        <w:snapToGrid w:val="0"/>
        <w:jc w:val="both"/>
        <w:rPr>
          <w:rFonts w:ascii="Times New Roman" w:hAnsi="Times New Roman" w:eastAsia="DFKai-SB"/>
          <w:szCs w:val="24"/>
          <w:highlight w:val="yellow"/>
        </w:rPr>
      </w:pPr>
      <w:r>
        <w:rPr>
          <w:rFonts w:hint="eastAsia" w:ascii="Times New Roman" w:hAnsi="Times New Roman" w:eastAsia="DFKai-SB"/>
          <w:bCs/>
          <w:szCs w:val="24"/>
        </w:rPr>
        <w:t>海南鑫壘為一家於中國註冊成立之有限責任公司，致力於投資和孵化直播電商和跨境電商類業務，推動互聯網產業在海南自貿港的落地和發展。</w:t>
      </w:r>
    </w:p>
    <w:p>
      <w:pPr>
        <w:pStyle w:val="5"/>
        <w:snapToGrid w:val="0"/>
        <w:jc w:val="both"/>
        <w:rPr>
          <w:rFonts w:eastAsia="DFKai-SB"/>
          <w:b/>
          <w:bCs/>
          <w:color w:val="231F20"/>
          <w:spacing w:val="4"/>
          <w:lang w:eastAsia="zh-HK"/>
        </w:rPr>
      </w:pPr>
    </w:p>
    <w:p>
      <w:pPr>
        <w:pStyle w:val="5"/>
        <w:snapToGrid w:val="0"/>
        <w:jc w:val="both"/>
        <w:rPr>
          <w:rFonts w:ascii="Times New Roman" w:hAnsi="Times New Roman" w:eastAsia="DFKai-SB"/>
          <w:b/>
          <w:szCs w:val="24"/>
        </w:rPr>
      </w:pPr>
      <w:r>
        <w:rPr>
          <w:rFonts w:hint="eastAsia" w:eastAsia="DFKai-SB"/>
          <w:b/>
          <w:bCs/>
          <w:color w:val="231F20"/>
          <w:spacing w:val="4"/>
        </w:rPr>
        <w:t>北京德而信</w:t>
      </w:r>
    </w:p>
    <w:p>
      <w:pPr>
        <w:pStyle w:val="5"/>
        <w:snapToGrid w:val="0"/>
        <w:jc w:val="both"/>
        <w:rPr>
          <w:rFonts w:ascii="Times New Roman" w:hAnsi="Times New Roman" w:eastAsia="DFKai-SB"/>
          <w:bCs/>
          <w:szCs w:val="24"/>
          <w:lang w:val="zh-CN"/>
        </w:rPr>
      </w:pPr>
      <w:r>
        <w:rPr>
          <w:rFonts w:hint="eastAsia" w:eastAsia="DFKai-SB"/>
          <w:bCs/>
          <w:color w:val="231F20"/>
          <w:spacing w:val="4"/>
        </w:rPr>
        <w:t>北京德而信</w:t>
      </w:r>
      <w:r>
        <w:rPr>
          <w:rFonts w:hint="eastAsia" w:ascii="Times New Roman" w:hAnsi="Times New Roman" w:eastAsia="DFKai-SB"/>
          <w:bCs/>
          <w:szCs w:val="24"/>
        </w:rPr>
        <w:t>為一家於</w:t>
      </w:r>
      <w:r>
        <w:rPr>
          <w:rFonts w:hint="eastAsia" w:ascii="Times New Roman" w:hAnsi="Times New Roman" w:eastAsia="DFKai-SB"/>
          <w:szCs w:val="24"/>
        </w:rPr>
        <w:t>中國註冊成立之有限責任公司</w:t>
      </w:r>
      <w:r>
        <w:rPr>
          <w:rFonts w:hint="eastAsia" w:ascii="Times New Roman" w:hAnsi="Times New Roman" w:eastAsia="DFKai-SB"/>
          <w:bCs/>
          <w:szCs w:val="24"/>
        </w:rPr>
        <w:t>，</w:t>
      </w:r>
      <w:r>
        <w:rPr>
          <w:rFonts w:hint="eastAsia" w:ascii="Times New Roman" w:hAnsi="Times New Roman" w:eastAsia="DFKai-SB"/>
          <w:bCs/>
          <w:szCs w:val="24"/>
          <w:lang w:val="zh-CN"/>
        </w:rPr>
        <w:t>其為德國</w:t>
      </w:r>
      <w:r>
        <w:rPr>
          <w:rFonts w:ascii="Times New Roman" w:hAnsi="Times New Roman" w:eastAsia="DFKai-SB"/>
          <w:bCs/>
          <w:szCs w:val="24"/>
          <w:lang w:val="zh-CN"/>
        </w:rPr>
        <w:t xml:space="preserve">HCP GmbH </w:t>
      </w:r>
      <w:r>
        <w:rPr>
          <w:rFonts w:hint="eastAsia" w:ascii="Times New Roman" w:hAnsi="Times New Roman" w:eastAsia="DFKai-SB"/>
          <w:bCs/>
          <w:szCs w:val="24"/>
          <w:lang w:val="zh-CN"/>
        </w:rPr>
        <w:t>在中國大健康領域投資成立的企業之一。公司聚焦產業投資，業務範圍涵蓋德國新特藥、德國養老服務和產品，德國高端醫療資源在中國市場的運營、管理和服務，釋放德國醫療產業源動力，為客戶提供德國特色的全方位全週期健康生活方式和健康養老整體解決方案。</w:t>
      </w:r>
    </w:p>
    <w:p>
      <w:pPr>
        <w:pStyle w:val="5"/>
        <w:snapToGrid w:val="0"/>
        <w:jc w:val="both"/>
        <w:rPr>
          <w:rFonts w:ascii="Times New Roman" w:hAnsi="Times New Roman" w:eastAsia="DFKai-SB"/>
          <w:bCs/>
          <w:szCs w:val="24"/>
          <w:lang w:val="zh-CN"/>
        </w:rPr>
      </w:pPr>
    </w:p>
    <w:p>
      <w:pPr>
        <w:pStyle w:val="5"/>
        <w:snapToGrid w:val="0"/>
        <w:jc w:val="both"/>
        <w:rPr>
          <w:rFonts w:ascii="Times New Roman" w:hAnsi="Times New Roman" w:eastAsia="DFKai-SB"/>
          <w:b/>
          <w:szCs w:val="24"/>
        </w:rPr>
      </w:pPr>
      <w:r>
        <w:rPr>
          <w:rFonts w:hint="eastAsia" w:ascii="Times New Roman" w:hAnsi="Times New Roman" w:eastAsia="DFKai-SB"/>
          <w:b/>
          <w:szCs w:val="24"/>
        </w:rPr>
        <w:t>新華大藥店</w:t>
      </w:r>
    </w:p>
    <w:p>
      <w:pPr>
        <w:pStyle w:val="5"/>
        <w:snapToGrid w:val="0"/>
        <w:jc w:val="both"/>
        <w:rPr>
          <w:rFonts w:ascii="Times New Roman" w:hAnsi="Times New Roman" w:eastAsia="DFKai-SB"/>
          <w:b/>
          <w:szCs w:val="24"/>
          <w:highlight w:val="yellow"/>
        </w:rPr>
      </w:pPr>
      <w:r>
        <w:rPr>
          <w:rFonts w:hint="eastAsia" w:ascii="Times New Roman" w:hAnsi="Times New Roman" w:eastAsia="DFKai-SB"/>
          <w:bCs/>
          <w:szCs w:val="24"/>
        </w:rPr>
        <w:t>新華大藥店為一家於中國註冊成立之有限責任公司及本公司的全資附屬公司，主要從事中藥飲片、中成藥、化學藥製劑、診斷藥品、保健食品、醫療器械等的零售</w:t>
      </w:r>
      <w:r>
        <w:rPr>
          <w:rFonts w:hint="eastAsia" w:ascii="Times New Roman" w:hAnsi="Times New Roman" w:eastAsia="DFKai-SB"/>
          <w:bCs/>
          <w:szCs w:val="24"/>
          <w:lang w:val="zh-CN"/>
        </w:rPr>
        <w:t>。</w:t>
      </w:r>
    </w:p>
    <w:p>
      <w:pPr>
        <w:jc w:val="both"/>
        <w:rPr>
          <w:rFonts w:eastAsia="DFKai-SB"/>
          <w:bCs/>
        </w:rPr>
      </w:pPr>
      <w:r>
        <w:rPr>
          <w:rFonts w:hint="eastAsia" w:eastAsia="DFKai-SB"/>
          <w:bCs/>
        </w:rPr>
        <w:t>根據</w:t>
      </w:r>
      <w:r>
        <w:rPr>
          <w:rFonts w:hint="eastAsia" w:eastAsia="DFKai-SB"/>
          <w:bCs/>
          <w:lang w:eastAsia="zh-HK"/>
        </w:rPr>
        <w:t>新華大藥店</w:t>
      </w:r>
      <w:r>
        <w:rPr>
          <w:rFonts w:hint="eastAsia" w:eastAsia="DFKai-SB"/>
          <w:bCs/>
        </w:rPr>
        <w:t>的審計報告，其經審核財務數據如下：</w:t>
      </w:r>
    </w:p>
    <w:p>
      <w:pPr>
        <w:jc w:val="both"/>
        <w:rPr>
          <w:rFonts w:eastAsia="DFKai-SB"/>
          <w:bCs/>
          <w:i/>
        </w:rPr>
      </w:pPr>
      <w:r>
        <w:rPr>
          <w:rFonts w:hint="eastAsia" w:eastAsia="DFKai-SB"/>
          <w:bCs/>
          <w:i/>
        </w:rPr>
        <w:t>(約整至人民幣萬元)</w:t>
      </w:r>
    </w:p>
    <w:tbl>
      <w:tblPr>
        <w:tblStyle w:val="16"/>
        <w:tblW w:w="897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923"/>
        <w:gridCol w:w="900"/>
        <w:gridCol w:w="810"/>
        <w:gridCol w:w="900"/>
        <w:gridCol w:w="900"/>
        <w:gridCol w:w="1080"/>
        <w:gridCol w:w="113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1057" w:type="dxa"/>
            <w:tcBorders>
              <w:tl2br w:val="single" w:color="auto" w:sz="4" w:space="0"/>
            </w:tcBorders>
          </w:tcPr>
          <w:p>
            <w:pPr>
              <w:pStyle w:val="10"/>
              <w:tabs>
                <w:tab w:val="left" w:pos="615"/>
              </w:tabs>
              <w:spacing w:before="120" w:line="360" w:lineRule="exact"/>
              <w:ind w:left="590" w:hanging="110" w:hangingChars="50"/>
              <w:jc w:val="center"/>
              <w:rPr>
                <w:rFonts w:eastAsia="DFKai-SB"/>
                <w:bCs/>
                <w:sz w:val="22"/>
                <w:szCs w:val="22"/>
                <w:lang w:eastAsia="zh-TW"/>
              </w:rPr>
            </w:pPr>
          </w:p>
          <w:p>
            <w:pPr>
              <w:pStyle w:val="10"/>
              <w:tabs>
                <w:tab w:val="left" w:pos="615"/>
              </w:tabs>
              <w:spacing w:before="120" w:line="360" w:lineRule="exact"/>
              <w:ind w:left="480"/>
              <w:jc w:val="center"/>
              <w:rPr>
                <w:rFonts w:eastAsia="DFKai-SB"/>
                <w:bCs/>
                <w:sz w:val="22"/>
                <w:szCs w:val="22"/>
                <w:lang w:eastAsia="zh-TW"/>
              </w:rPr>
            </w:pPr>
            <w:r>
              <w:rPr>
                <w:rFonts w:eastAsia="DFKai-SB"/>
                <w:bCs/>
                <w:sz w:val="22"/>
                <w:szCs w:val="22"/>
                <w:lang w:eastAsia="zh-TW"/>
              </w:rPr>
              <w:t>項</w:t>
            </w:r>
            <w:r>
              <w:rPr>
                <w:rFonts w:hint="eastAsia" w:eastAsia="DFKai-SB"/>
                <w:bCs/>
                <w:sz w:val="22"/>
                <w:szCs w:val="22"/>
                <w:lang w:eastAsia="zh-TW"/>
              </w:rPr>
              <w:t>目</w:t>
            </w:r>
          </w:p>
          <w:p>
            <w:pPr>
              <w:jc w:val="center"/>
              <w:rPr>
                <w:rFonts w:eastAsia="DFKai-SB"/>
                <w:bCs/>
                <w:sz w:val="22"/>
                <w:szCs w:val="22"/>
              </w:rPr>
            </w:pPr>
          </w:p>
          <w:p>
            <w:pPr>
              <w:jc w:val="center"/>
              <w:rPr>
                <w:rFonts w:eastAsia="DFKai-SB"/>
                <w:bCs/>
                <w:sz w:val="22"/>
                <w:szCs w:val="22"/>
              </w:rPr>
            </w:pPr>
          </w:p>
          <w:p>
            <w:pPr>
              <w:jc w:val="center"/>
              <w:rPr>
                <w:rFonts w:eastAsia="DFKai-SB"/>
                <w:bCs/>
                <w:sz w:val="22"/>
                <w:szCs w:val="22"/>
              </w:rPr>
            </w:pPr>
          </w:p>
          <w:p>
            <w:pPr>
              <w:jc w:val="center"/>
              <w:rPr>
                <w:rFonts w:eastAsia="DFKai-SB"/>
                <w:bCs/>
                <w:sz w:val="22"/>
                <w:szCs w:val="22"/>
              </w:rPr>
            </w:pPr>
            <w:r>
              <w:rPr>
                <w:rFonts w:eastAsia="DFKai-SB"/>
                <w:bCs/>
                <w:sz w:val="22"/>
                <w:szCs w:val="22"/>
              </w:rPr>
              <w:t>期</w:t>
            </w:r>
            <w:r>
              <w:rPr>
                <w:rFonts w:hint="eastAsia" w:eastAsia="DFKai-SB"/>
                <w:bCs/>
                <w:sz w:val="22"/>
                <w:szCs w:val="22"/>
              </w:rPr>
              <w:t>間</w:t>
            </w:r>
          </w:p>
        </w:tc>
        <w:tc>
          <w:tcPr>
            <w:tcW w:w="923" w:type="dxa"/>
          </w:tcPr>
          <w:p>
            <w:pPr>
              <w:pStyle w:val="10"/>
              <w:spacing w:before="120" w:line="360" w:lineRule="exact"/>
              <w:ind w:left="-10" w:leftChars="-4"/>
              <w:jc w:val="center"/>
              <w:rPr>
                <w:rFonts w:eastAsia="DFKai-SB"/>
                <w:bCs/>
                <w:sz w:val="22"/>
                <w:szCs w:val="22"/>
                <w:lang w:eastAsia="zh-TW"/>
              </w:rPr>
            </w:pPr>
            <w:r>
              <w:rPr>
                <w:rFonts w:hint="eastAsia" w:eastAsia="DFKai-SB"/>
                <w:bCs/>
                <w:sz w:val="22"/>
                <w:szCs w:val="22"/>
                <w:lang w:eastAsia="zh-TW"/>
              </w:rPr>
              <w:t>總資產</w:t>
            </w:r>
          </w:p>
        </w:tc>
        <w:tc>
          <w:tcPr>
            <w:tcW w:w="900" w:type="dxa"/>
          </w:tcPr>
          <w:p>
            <w:pPr>
              <w:pStyle w:val="10"/>
              <w:spacing w:before="120" w:line="360" w:lineRule="exact"/>
              <w:ind w:left="-10" w:leftChars="-4"/>
              <w:jc w:val="center"/>
              <w:rPr>
                <w:rFonts w:eastAsia="DFKai-SB"/>
                <w:bCs/>
                <w:sz w:val="22"/>
                <w:szCs w:val="22"/>
                <w:lang w:eastAsia="zh-TW"/>
              </w:rPr>
            </w:pPr>
            <w:r>
              <w:rPr>
                <w:rFonts w:hint="eastAsia" w:eastAsia="DFKai-SB"/>
                <w:bCs/>
                <w:sz w:val="22"/>
                <w:szCs w:val="22"/>
                <w:lang w:eastAsia="zh-TW"/>
              </w:rPr>
              <w:t>總負債</w:t>
            </w:r>
          </w:p>
        </w:tc>
        <w:tc>
          <w:tcPr>
            <w:tcW w:w="810" w:type="dxa"/>
          </w:tcPr>
          <w:p>
            <w:pPr>
              <w:pStyle w:val="10"/>
              <w:spacing w:before="120" w:line="360" w:lineRule="exact"/>
              <w:ind w:left="-10" w:leftChars="-4"/>
              <w:jc w:val="center"/>
              <w:rPr>
                <w:rFonts w:eastAsia="DFKai-SB"/>
                <w:bCs/>
                <w:sz w:val="22"/>
                <w:szCs w:val="22"/>
                <w:lang w:eastAsia="zh-TW"/>
              </w:rPr>
            </w:pPr>
            <w:r>
              <w:rPr>
                <w:rFonts w:eastAsia="DFKai-SB"/>
                <w:bCs/>
                <w:sz w:val="22"/>
                <w:szCs w:val="22"/>
                <w:lang w:eastAsia="zh-TW"/>
              </w:rPr>
              <w:t>所有者 權</w:t>
            </w:r>
            <w:r>
              <w:rPr>
                <w:rFonts w:hint="eastAsia" w:eastAsia="DFKai-SB"/>
                <w:bCs/>
                <w:sz w:val="22"/>
                <w:szCs w:val="22"/>
                <w:lang w:eastAsia="zh-TW"/>
              </w:rPr>
              <w:t>益</w:t>
            </w:r>
          </w:p>
        </w:tc>
        <w:tc>
          <w:tcPr>
            <w:tcW w:w="900" w:type="dxa"/>
          </w:tcPr>
          <w:p>
            <w:pPr>
              <w:pStyle w:val="10"/>
              <w:spacing w:before="120" w:line="360" w:lineRule="exact"/>
              <w:ind w:left="-10" w:leftChars="-4"/>
              <w:jc w:val="center"/>
              <w:rPr>
                <w:rFonts w:eastAsia="DFKai-SB"/>
                <w:bCs/>
                <w:sz w:val="22"/>
                <w:szCs w:val="22"/>
                <w:lang w:eastAsia="zh-TW"/>
              </w:rPr>
            </w:pPr>
            <w:r>
              <w:rPr>
                <w:rFonts w:eastAsia="DFKai-SB"/>
                <w:bCs/>
                <w:sz w:val="22"/>
                <w:szCs w:val="22"/>
                <w:lang w:eastAsia="zh-TW"/>
              </w:rPr>
              <w:t>營業收</w:t>
            </w:r>
            <w:r>
              <w:rPr>
                <w:rFonts w:hint="eastAsia" w:eastAsia="DFKai-SB"/>
                <w:bCs/>
                <w:sz w:val="22"/>
                <w:szCs w:val="22"/>
                <w:lang w:eastAsia="zh-TW"/>
              </w:rPr>
              <w:t>入</w:t>
            </w:r>
          </w:p>
        </w:tc>
        <w:tc>
          <w:tcPr>
            <w:tcW w:w="900" w:type="dxa"/>
          </w:tcPr>
          <w:p>
            <w:pPr>
              <w:pStyle w:val="10"/>
              <w:spacing w:before="120" w:line="360" w:lineRule="exact"/>
              <w:ind w:left="-10" w:leftChars="-4"/>
              <w:jc w:val="center"/>
              <w:rPr>
                <w:rFonts w:eastAsia="DFKai-SB"/>
                <w:bCs/>
                <w:sz w:val="22"/>
                <w:szCs w:val="22"/>
                <w:lang w:eastAsia="zh-TW"/>
              </w:rPr>
            </w:pPr>
            <w:r>
              <w:rPr>
                <w:rFonts w:eastAsia="DFKai-SB"/>
                <w:bCs/>
                <w:sz w:val="22"/>
                <w:szCs w:val="22"/>
                <w:lang w:eastAsia="zh-TW"/>
              </w:rPr>
              <w:t>營業利</w:t>
            </w:r>
            <w:r>
              <w:rPr>
                <w:rFonts w:hint="eastAsia" w:eastAsia="DFKai-SB"/>
                <w:bCs/>
                <w:sz w:val="22"/>
                <w:szCs w:val="22"/>
                <w:lang w:eastAsia="zh-TW"/>
              </w:rPr>
              <w:t>潤</w:t>
            </w:r>
          </w:p>
        </w:tc>
        <w:tc>
          <w:tcPr>
            <w:tcW w:w="1080" w:type="dxa"/>
          </w:tcPr>
          <w:p>
            <w:pPr>
              <w:pStyle w:val="10"/>
              <w:spacing w:before="120" w:line="360" w:lineRule="exact"/>
              <w:ind w:left="-10" w:leftChars="-4"/>
              <w:jc w:val="center"/>
              <w:rPr>
                <w:rFonts w:eastAsia="DFKai-SB"/>
                <w:bCs/>
                <w:sz w:val="22"/>
                <w:szCs w:val="22"/>
                <w:lang w:eastAsia="zh-TW"/>
              </w:rPr>
            </w:pPr>
            <w:r>
              <w:rPr>
                <w:rFonts w:eastAsia="DFKai-SB"/>
                <w:bCs/>
                <w:sz w:val="22"/>
                <w:szCs w:val="22"/>
                <w:lang w:eastAsia="zh-TW"/>
              </w:rPr>
              <w:t>淨利潤 （除所得稅前</w:t>
            </w:r>
            <w:r>
              <w:rPr>
                <w:rFonts w:hint="eastAsia" w:eastAsia="DFKai-SB"/>
                <w:bCs/>
                <w:sz w:val="22"/>
                <w:szCs w:val="22"/>
                <w:lang w:eastAsia="zh-TW"/>
              </w:rPr>
              <w:t>）</w:t>
            </w:r>
          </w:p>
        </w:tc>
        <w:tc>
          <w:tcPr>
            <w:tcW w:w="1130" w:type="dxa"/>
          </w:tcPr>
          <w:p>
            <w:pPr>
              <w:pStyle w:val="10"/>
              <w:spacing w:before="120" w:line="360" w:lineRule="exact"/>
              <w:ind w:left="-10" w:leftChars="-4"/>
              <w:jc w:val="center"/>
              <w:rPr>
                <w:rFonts w:eastAsia="DFKai-SB"/>
                <w:bCs/>
                <w:sz w:val="22"/>
                <w:szCs w:val="22"/>
                <w:lang w:eastAsia="zh-TW"/>
              </w:rPr>
            </w:pPr>
            <w:r>
              <w:rPr>
                <w:rFonts w:eastAsia="DFKai-SB"/>
                <w:bCs/>
                <w:sz w:val="22"/>
                <w:szCs w:val="22"/>
                <w:lang w:eastAsia="zh-TW"/>
              </w:rPr>
              <w:t>淨利潤 （除所 得稅後</w:t>
            </w:r>
            <w:r>
              <w:rPr>
                <w:rFonts w:hint="eastAsia" w:eastAsia="DFKai-SB"/>
                <w:bCs/>
                <w:sz w:val="22"/>
                <w:szCs w:val="22"/>
                <w:lang w:eastAsia="zh-TW"/>
              </w:rPr>
              <w:t>）</w:t>
            </w:r>
          </w:p>
        </w:tc>
        <w:tc>
          <w:tcPr>
            <w:tcW w:w="1277" w:type="dxa"/>
          </w:tcPr>
          <w:p>
            <w:pPr>
              <w:pStyle w:val="10"/>
              <w:spacing w:before="120" w:line="360" w:lineRule="exact"/>
              <w:ind w:left="-10" w:leftChars="-4"/>
              <w:jc w:val="center"/>
              <w:rPr>
                <w:rFonts w:eastAsia="DFKai-SB"/>
                <w:bCs/>
                <w:sz w:val="22"/>
                <w:szCs w:val="22"/>
                <w:lang w:eastAsia="zh-TW"/>
              </w:rPr>
            </w:pPr>
            <w:r>
              <w:rPr>
                <w:rFonts w:eastAsia="DFKai-SB"/>
                <w:bCs/>
                <w:sz w:val="22"/>
                <w:szCs w:val="22"/>
                <w:lang w:eastAsia="zh-TW"/>
              </w:rPr>
              <w:t xml:space="preserve">經營活動產生的現金流量淨 </w:t>
            </w:r>
            <w:r>
              <w:rPr>
                <w:rFonts w:hint="eastAsia" w:eastAsia="DFKai-SB"/>
                <w:bCs/>
                <w:sz w:val="22"/>
                <w:szCs w:val="22"/>
                <w:lang w:eastAsia="zh-TW"/>
              </w:rPr>
              <w:t>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pStyle w:val="10"/>
              <w:spacing w:before="120" w:line="360" w:lineRule="exact"/>
              <w:ind w:left="0" w:leftChars="0"/>
              <w:jc w:val="center"/>
              <w:rPr>
                <w:rFonts w:eastAsia="DFKai-SB"/>
                <w:bCs/>
                <w:sz w:val="20"/>
                <w:szCs w:val="20"/>
                <w:lang w:eastAsia="zh-TW"/>
              </w:rPr>
            </w:pPr>
            <w:r>
              <w:rPr>
                <w:rFonts w:eastAsia="DFKai-SB"/>
                <w:bCs/>
                <w:sz w:val="20"/>
                <w:szCs w:val="20"/>
                <w:lang w:eastAsia="zh-TW"/>
              </w:rPr>
              <w:t>截至 2017 年 12 月 31 日止年</w:t>
            </w:r>
            <w:r>
              <w:rPr>
                <w:rFonts w:hint="eastAsia" w:eastAsia="DFKai-SB"/>
                <w:bCs/>
                <w:sz w:val="20"/>
                <w:szCs w:val="20"/>
                <w:lang w:eastAsia="zh-TW"/>
              </w:rPr>
              <w:t>度</w:t>
            </w:r>
          </w:p>
        </w:tc>
        <w:tc>
          <w:tcPr>
            <w:tcW w:w="923" w:type="dxa"/>
          </w:tcPr>
          <w:p>
            <w:pPr>
              <w:pStyle w:val="10"/>
              <w:spacing w:before="120" w:line="360" w:lineRule="exact"/>
              <w:ind w:left="-10" w:leftChars="-4"/>
              <w:jc w:val="center"/>
            </w:pPr>
            <w:r>
              <w:rPr>
                <w:rFonts w:eastAsia="DFKai-SB"/>
              </w:rPr>
              <w:t>2,843.39</w:t>
            </w:r>
          </w:p>
        </w:tc>
        <w:tc>
          <w:tcPr>
            <w:tcW w:w="900" w:type="dxa"/>
          </w:tcPr>
          <w:p>
            <w:pPr>
              <w:pStyle w:val="10"/>
              <w:spacing w:before="120" w:line="360" w:lineRule="exact"/>
              <w:ind w:left="-10" w:leftChars="-4"/>
              <w:jc w:val="center"/>
            </w:pPr>
            <w:r>
              <w:rPr>
                <w:rFonts w:eastAsia="PMingLiU"/>
                <w:lang w:eastAsia="zh-TW"/>
              </w:rPr>
              <w:t>2,490.99</w:t>
            </w:r>
          </w:p>
        </w:tc>
        <w:tc>
          <w:tcPr>
            <w:tcW w:w="810" w:type="dxa"/>
          </w:tcPr>
          <w:p>
            <w:pPr>
              <w:pStyle w:val="10"/>
              <w:spacing w:before="120" w:line="360" w:lineRule="exact"/>
              <w:ind w:left="-10" w:leftChars="-4"/>
              <w:jc w:val="center"/>
              <w:rPr>
                <w:rFonts w:eastAsia="PMingLiU"/>
                <w:lang w:eastAsia="zh-TW"/>
              </w:rPr>
            </w:pPr>
            <w:r>
              <w:rPr>
                <w:rFonts w:eastAsia="PMingLiU"/>
                <w:lang w:eastAsia="zh-TW"/>
              </w:rPr>
              <w:t>352.40</w:t>
            </w:r>
          </w:p>
        </w:tc>
        <w:tc>
          <w:tcPr>
            <w:tcW w:w="900" w:type="dxa"/>
          </w:tcPr>
          <w:p>
            <w:pPr>
              <w:pStyle w:val="10"/>
              <w:spacing w:before="120" w:line="360" w:lineRule="exact"/>
              <w:ind w:left="-10" w:leftChars="-4"/>
              <w:jc w:val="center"/>
              <w:rPr>
                <w:rFonts w:eastAsia="PMingLiU"/>
                <w:lang w:eastAsia="zh-TW"/>
              </w:rPr>
            </w:pPr>
            <w:r>
              <w:rPr>
                <w:rFonts w:eastAsia="PMingLiU"/>
                <w:lang w:eastAsia="zh-TW"/>
              </w:rPr>
              <w:t>5,561.38</w:t>
            </w:r>
          </w:p>
        </w:tc>
        <w:tc>
          <w:tcPr>
            <w:tcW w:w="900" w:type="dxa"/>
          </w:tcPr>
          <w:p>
            <w:pPr>
              <w:pStyle w:val="10"/>
              <w:spacing w:before="120" w:line="360" w:lineRule="exact"/>
              <w:ind w:left="-10" w:leftChars="-4"/>
              <w:jc w:val="center"/>
              <w:rPr>
                <w:rFonts w:eastAsia="PMingLiU"/>
                <w:lang w:eastAsia="zh-TW"/>
              </w:rPr>
            </w:pPr>
            <w:r>
              <w:rPr>
                <w:rFonts w:eastAsia="PMingLiU"/>
                <w:lang w:eastAsia="zh-TW"/>
              </w:rPr>
              <w:t>17.92</w:t>
            </w:r>
          </w:p>
        </w:tc>
        <w:tc>
          <w:tcPr>
            <w:tcW w:w="1080" w:type="dxa"/>
          </w:tcPr>
          <w:p>
            <w:pPr>
              <w:pStyle w:val="10"/>
              <w:spacing w:before="120" w:line="360" w:lineRule="exact"/>
              <w:ind w:left="-10" w:leftChars="-4"/>
              <w:jc w:val="center"/>
            </w:pPr>
            <w:r>
              <w:rPr>
                <w:rFonts w:eastAsia="DFKai-SB"/>
              </w:rPr>
              <w:t>17.92</w:t>
            </w:r>
          </w:p>
        </w:tc>
        <w:tc>
          <w:tcPr>
            <w:tcW w:w="1130" w:type="dxa"/>
          </w:tcPr>
          <w:p>
            <w:pPr>
              <w:pStyle w:val="10"/>
              <w:spacing w:before="120" w:line="360" w:lineRule="exact"/>
              <w:ind w:left="-10" w:leftChars="-4"/>
              <w:jc w:val="center"/>
              <w:rPr>
                <w:rFonts w:eastAsia="DFKai-SB"/>
              </w:rPr>
            </w:pPr>
            <w:r>
              <w:rPr>
                <w:rFonts w:eastAsia="DFKai-SB"/>
              </w:rPr>
              <w:t>17.92</w:t>
            </w:r>
          </w:p>
        </w:tc>
        <w:tc>
          <w:tcPr>
            <w:tcW w:w="1277" w:type="dxa"/>
          </w:tcPr>
          <w:p>
            <w:pPr>
              <w:pStyle w:val="10"/>
              <w:spacing w:before="120" w:line="360" w:lineRule="exact"/>
              <w:ind w:left="-10" w:leftChars="-4"/>
              <w:jc w:val="center"/>
            </w:pPr>
            <w:r>
              <w:rPr>
                <w:rFonts w:eastAsia="DFKai-SB"/>
              </w:rPr>
              <w:t>-429.09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pStyle w:val="10"/>
              <w:spacing w:before="120" w:line="360" w:lineRule="exact"/>
              <w:ind w:left="0" w:leftChars="0"/>
              <w:jc w:val="center"/>
              <w:rPr>
                <w:rFonts w:eastAsia="DFKai-SB"/>
                <w:bCs/>
                <w:sz w:val="20"/>
                <w:szCs w:val="20"/>
                <w:lang w:eastAsia="zh-TW"/>
              </w:rPr>
            </w:pPr>
            <w:r>
              <w:rPr>
                <w:rFonts w:eastAsia="DFKai-SB"/>
                <w:bCs/>
                <w:sz w:val="20"/>
                <w:szCs w:val="20"/>
                <w:lang w:eastAsia="zh-TW"/>
              </w:rPr>
              <w:t>截至 2018 年 12 月 31 日止年</w:t>
            </w:r>
            <w:r>
              <w:rPr>
                <w:rFonts w:hint="eastAsia" w:eastAsia="DFKai-SB"/>
                <w:bCs/>
                <w:sz w:val="20"/>
                <w:szCs w:val="20"/>
                <w:lang w:eastAsia="zh-TW"/>
              </w:rPr>
              <w:t>度</w:t>
            </w:r>
          </w:p>
        </w:tc>
        <w:tc>
          <w:tcPr>
            <w:tcW w:w="923" w:type="dxa"/>
          </w:tcPr>
          <w:p>
            <w:pPr>
              <w:pStyle w:val="10"/>
              <w:spacing w:before="120" w:line="360" w:lineRule="exact"/>
              <w:ind w:left="-10" w:leftChars="-4"/>
              <w:jc w:val="center"/>
            </w:pPr>
            <w:r>
              <w:rPr>
                <w:rFonts w:eastAsia="DFKai-SB"/>
              </w:rPr>
              <w:t>9,030.31</w:t>
            </w:r>
          </w:p>
        </w:tc>
        <w:tc>
          <w:tcPr>
            <w:tcW w:w="900" w:type="dxa"/>
          </w:tcPr>
          <w:p>
            <w:pPr>
              <w:pStyle w:val="10"/>
              <w:spacing w:before="120" w:line="360" w:lineRule="exact"/>
              <w:ind w:left="-10" w:leftChars="-4"/>
              <w:jc w:val="center"/>
            </w:pPr>
            <w:r>
              <w:rPr>
                <w:rFonts w:eastAsia="DFKai-SB"/>
                <w:lang w:eastAsia="zh-TW"/>
              </w:rPr>
              <w:t>8,669.21</w:t>
            </w:r>
          </w:p>
        </w:tc>
        <w:tc>
          <w:tcPr>
            <w:tcW w:w="810" w:type="dxa"/>
          </w:tcPr>
          <w:p>
            <w:pPr>
              <w:pStyle w:val="10"/>
              <w:spacing w:before="120" w:line="360" w:lineRule="exact"/>
              <w:ind w:left="-10" w:leftChars="-4"/>
              <w:jc w:val="center"/>
              <w:rPr>
                <w:rFonts w:eastAsia="PMingLiU"/>
                <w:lang w:eastAsia="zh-TW"/>
              </w:rPr>
            </w:pPr>
            <w:r>
              <w:rPr>
                <w:rFonts w:eastAsia="PMingLiU"/>
                <w:lang w:eastAsia="zh-TW"/>
              </w:rPr>
              <w:t>361.09</w:t>
            </w:r>
          </w:p>
        </w:tc>
        <w:tc>
          <w:tcPr>
            <w:tcW w:w="900" w:type="dxa"/>
          </w:tcPr>
          <w:p>
            <w:pPr>
              <w:pStyle w:val="10"/>
              <w:spacing w:before="120" w:line="360" w:lineRule="exact"/>
              <w:ind w:left="-10" w:leftChars="-4"/>
              <w:jc w:val="center"/>
              <w:rPr>
                <w:rFonts w:eastAsia="PMingLiU"/>
                <w:lang w:eastAsia="zh-TW"/>
              </w:rPr>
            </w:pPr>
            <w:r>
              <w:rPr>
                <w:rFonts w:eastAsia="PMingLiU"/>
                <w:lang w:eastAsia="zh-TW"/>
              </w:rPr>
              <w:t>14,290.41</w:t>
            </w:r>
          </w:p>
        </w:tc>
        <w:tc>
          <w:tcPr>
            <w:tcW w:w="900" w:type="dxa"/>
          </w:tcPr>
          <w:p>
            <w:pPr>
              <w:pStyle w:val="10"/>
              <w:spacing w:before="120" w:line="360" w:lineRule="exact"/>
              <w:ind w:left="-10" w:leftChars="-4"/>
              <w:jc w:val="center"/>
              <w:rPr>
                <w:rFonts w:eastAsia="PMingLiU"/>
                <w:lang w:eastAsia="zh-TW"/>
              </w:rPr>
            </w:pPr>
            <w:r>
              <w:rPr>
                <w:rFonts w:eastAsia="PMingLiU"/>
                <w:lang w:eastAsia="zh-TW"/>
              </w:rPr>
              <w:t>107.78</w:t>
            </w:r>
          </w:p>
        </w:tc>
        <w:tc>
          <w:tcPr>
            <w:tcW w:w="1080" w:type="dxa"/>
          </w:tcPr>
          <w:p>
            <w:pPr>
              <w:pStyle w:val="10"/>
              <w:spacing w:before="120" w:line="360" w:lineRule="exact"/>
              <w:ind w:left="-10" w:leftChars="-4"/>
              <w:jc w:val="center"/>
            </w:pPr>
            <w:r>
              <w:rPr>
                <w:rFonts w:eastAsia="DFKai-SB"/>
              </w:rPr>
              <w:t>20.7</w:t>
            </w:r>
            <w:r>
              <w:t>7</w:t>
            </w:r>
          </w:p>
        </w:tc>
        <w:tc>
          <w:tcPr>
            <w:tcW w:w="1130" w:type="dxa"/>
          </w:tcPr>
          <w:p>
            <w:pPr>
              <w:pStyle w:val="10"/>
              <w:spacing w:before="120" w:line="360" w:lineRule="exact"/>
              <w:ind w:left="-10" w:leftChars="-4"/>
              <w:jc w:val="center"/>
              <w:rPr>
                <w:rFonts w:eastAsia="DFKai-SB"/>
              </w:rPr>
            </w:pPr>
            <w:r>
              <w:rPr>
                <w:rFonts w:eastAsia="DFKai-SB"/>
              </w:rPr>
              <w:t>8.69</w:t>
            </w:r>
          </w:p>
        </w:tc>
        <w:tc>
          <w:tcPr>
            <w:tcW w:w="1277" w:type="dxa"/>
          </w:tcPr>
          <w:p>
            <w:pPr>
              <w:pStyle w:val="10"/>
              <w:spacing w:before="120" w:line="360" w:lineRule="exact"/>
              <w:ind w:left="-10" w:leftChars="-4"/>
              <w:jc w:val="center"/>
            </w:pPr>
            <w:r>
              <w:rPr>
                <w:rFonts w:eastAsia="DFKai-SB"/>
              </w:rPr>
              <w:t>-3540.49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7" w:type="dxa"/>
          </w:tcPr>
          <w:p>
            <w:pPr>
              <w:pStyle w:val="10"/>
              <w:spacing w:before="120" w:line="360" w:lineRule="exact"/>
              <w:ind w:left="0" w:leftChars="0"/>
              <w:jc w:val="center"/>
              <w:rPr>
                <w:rFonts w:eastAsia="DFKai-SB"/>
                <w:bCs/>
                <w:sz w:val="20"/>
                <w:szCs w:val="20"/>
                <w:lang w:eastAsia="zh-TW"/>
              </w:rPr>
            </w:pPr>
            <w:r>
              <w:rPr>
                <w:rFonts w:eastAsia="DFKai-SB"/>
                <w:bCs/>
                <w:sz w:val="20"/>
                <w:szCs w:val="20"/>
                <w:lang w:eastAsia="zh-TW"/>
              </w:rPr>
              <w:t>截至 2019 年 12 月 31 日止年</w:t>
            </w:r>
            <w:r>
              <w:rPr>
                <w:rFonts w:hint="eastAsia" w:eastAsia="DFKai-SB"/>
                <w:bCs/>
                <w:sz w:val="20"/>
                <w:szCs w:val="20"/>
                <w:lang w:eastAsia="zh-TW"/>
              </w:rPr>
              <w:t>度</w:t>
            </w:r>
          </w:p>
        </w:tc>
        <w:tc>
          <w:tcPr>
            <w:tcW w:w="923" w:type="dxa"/>
          </w:tcPr>
          <w:p>
            <w:pPr>
              <w:pStyle w:val="10"/>
              <w:spacing w:before="120" w:line="360" w:lineRule="exact"/>
              <w:ind w:left="-10" w:leftChars="-4"/>
              <w:jc w:val="center"/>
            </w:pPr>
            <w:r>
              <w:rPr>
                <w:rFonts w:eastAsia="DFKai-SB"/>
              </w:rPr>
              <w:t>10,549.60</w:t>
            </w:r>
          </w:p>
        </w:tc>
        <w:tc>
          <w:tcPr>
            <w:tcW w:w="900" w:type="dxa"/>
          </w:tcPr>
          <w:p>
            <w:pPr>
              <w:pStyle w:val="10"/>
              <w:spacing w:before="120" w:line="360" w:lineRule="exact"/>
              <w:ind w:left="-10" w:leftChars="-4"/>
              <w:jc w:val="center"/>
              <w:rPr>
                <w:rFonts w:eastAsia="PMingLiU"/>
                <w:lang w:eastAsia="zh-TW"/>
              </w:rPr>
            </w:pPr>
            <w:r>
              <w:rPr>
                <w:rFonts w:eastAsia="PMingLiU"/>
                <w:lang w:eastAsia="zh-TW"/>
              </w:rPr>
              <w:t>10,097.01</w:t>
            </w:r>
          </w:p>
        </w:tc>
        <w:tc>
          <w:tcPr>
            <w:tcW w:w="810" w:type="dxa"/>
          </w:tcPr>
          <w:p>
            <w:pPr>
              <w:pStyle w:val="10"/>
              <w:spacing w:before="120" w:line="360" w:lineRule="exact"/>
              <w:ind w:left="-10" w:leftChars="-4"/>
              <w:jc w:val="center"/>
              <w:rPr>
                <w:rFonts w:eastAsia="PMingLiU"/>
                <w:lang w:eastAsia="zh-TW"/>
              </w:rPr>
            </w:pPr>
            <w:r>
              <w:rPr>
                <w:rFonts w:eastAsia="PMingLiU"/>
                <w:lang w:eastAsia="zh-TW"/>
              </w:rPr>
              <w:t>452.59</w:t>
            </w:r>
          </w:p>
        </w:tc>
        <w:tc>
          <w:tcPr>
            <w:tcW w:w="900" w:type="dxa"/>
          </w:tcPr>
          <w:p>
            <w:pPr>
              <w:pStyle w:val="10"/>
              <w:spacing w:before="120" w:line="360" w:lineRule="exact"/>
              <w:ind w:left="-10" w:leftChars="-4"/>
              <w:jc w:val="center"/>
              <w:rPr>
                <w:rFonts w:eastAsia="PMingLiU"/>
                <w:lang w:eastAsia="zh-TW"/>
              </w:rPr>
            </w:pPr>
            <w:r>
              <w:rPr>
                <w:rFonts w:eastAsia="PMingLiU"/>
                <w:lang w:eastAsia="zh-TW"/>
              </w:rPr>
              <w:t>17,658.81</w:t>
            </w:r>
          </w:p>
        </w:tc>
        <w:tc>
          <w:tcPr>
            <w:tcW w:w="900" w:type="dxa"/>
          </w:tcPr>
          <w:p>
            <w:pPr>
              <w:pStyle w:val="10"/>
              <w:spacing w:before="120" w:line="360" w:lineRule="exact"/>
              <w:ind w:left="-10" w:leftChars="-4"/>
              <w:jc w:val="center"/>
              <w:rPr>
                <w:rFonts w:eastAsia="PMingLiU"/>
                <w:lang w:eastAsia="zh-TW"/>
              </w:rPr>
            </w:pPr>
            <w:r>
              <w:rPr>
                <w:rFonts w:eastAsia="PMingLiU"/>
                <w:lang w:eastAsia="zh-TW"/>
              </w:rPr>
              <w:t>127.52</w:t>
            </w:r>
          </w:p>
        </w:tc>
        <w:tc>
          <w:tcPr>
            <w:tcW w:w="1080" w:type="dxa"/>
          </w:tcPr>
          <w:p>
            <w:pPr>
              <w:pStyle w:val="10"/>
              <w:spacing w:before="120" w:line="360" w:lineRule="exact"/>
              <w:ind w:left="-10" w:leftChars="-4"/>
              <w:jc w:val="center"/>
            </w:pPr>
            <w:r>
              <w:rPr>
                <w:rFonts w:eastAsia="DFKai-SB"/>
              </w:rPr>
              <w:t>123.65</w:t>
            </w:r>
          </w:p>
        </w:tc>
        <w:tc>
          <w:tcPr>
            <w:tcW w:w="1130" w:type="dxa"/>
          </w:tcPr>
          <w:p>
            <w:pPr>
              <w:pStyle w:val="10"/>
              <w:spacing w:before="120" w:line="360" w:lineRule="exact"/>
              <w:ind w:left="-10" w:leftChars="-4"/>
              <w:jc w:val="center"/>
              <w:rPr>
                <w:rFonts w:eastAsia="DFKai-SB"/>
              </w:rPr>
            </w:pPr>
            <w:r>
              <w:rPr>
                <w:rFonts w:eastAsia="DFKai-SB"/>
              </w:rPr>
              <w:t>91.49</w:t>
            </w:r>
          </w:p>
        </w:tc>
        <w:tc>
          <w:tcPr>
            <w:tcW w:w="1277" w:type="dxa"/>
          </w:tcPr>
          <w:p>
            <w:pPr>
              <w:pStyle w:val="10"/>
              <w:spacing w:before="120" w:line="360" w:lineRule="exact"/>
              <w:ind w:left="-10" w:leftChars="-4"/>
              <w:jc w:val="center"/>
            </w:pPr>
            <w:r>
              <w:rPr>
                <w:rFonts w:eastAsia="DFKai-SB"/>
              </w:rPr>
              <w:t>1274.39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1057" w:type="dxa"/>
          </w:tcPr>
          <w:p>
            <w:pPr>
              <w:pStyle w:val="10"/>
              <w:spacing w:before="120" w:line="360" w:lineRule="exact"/>
              <w:ind w:left="0" w:leftChars="0"/>
              <w:jc w:val="center"/>
              <w:rPr>
                <w:rFonts w:eastAsia="DFKai-SB"/>
                <w:bCs/>
                <w:sz w:val="20"/>
                <w:szCs w:val="20"/>
                <w:lang w:eastAsia="zh-TW"/>
              </w:rPr>
            </w:pPr>
            <w:r>
              <w:rPr>
                <w:rFonts w:eastAsia="DFKai-SB"/>
                <w:bCs/>
                <w:sz w:val="20"/>
                <w:szCs w:val="20"/>
                <w:lang w:eastAsia="zh-TW"/>
              </w:rPr>
              <w:t>截至 2020 年 7月 31 日止</w:t>
            </w:r>
            <w:r>
              <w:rPr>
                <w:rFonts w:hint="eastAsia" w:eastAsia="DFKai-SB"/>
                <w:bCs/>
                <w:sz w:val="20"/>
                <w:szCs w:val="20"/>
                <w:lang w:eastAsia="zh-TW"/>
              </w:rPr>
              <w:t>七</w:t>
            </w:r>
            <w:r>
              <w:rPr>
                <w:rFonts w:eastAsia="DFKai-SB"/>
                <w:bCs/>
                <w:sz w:val="20"/>
                <w:szCs w:val="20"/>
                <w:lang w:eastAsia="zh-TW"/>
              </w:rPr>
              <w:t>個</w:t>
            </w:r>
            <w:r>
              <w:rPr>
                <w:rFonts w:hint="eastAsia" w:eastAsia="DFKai-SB"/>
                <w:bCs/>
                <w:sz w:val="20"/>
                <w:szCs w:val="20"/>
                <w:lang w:eastAsia="zh-TW"/>
              </w:rPr>
              <w:t>月</w:t>
            </w:r>
          </w:p>
        </w:tc>
        <w:tc>
          <w:tcPr>
            <w:tcW w:w="923" w:type="dxa"/>
          </w:tcPr>
          <w:p>
            <w:pPr>
              <w:pStyle w:val="10"/>
              <w:spacing w:before="120" w:line="360" w:lineRule="exact"/>
              <w:ind w:left="-10" w:leftChars="-4"/>
              <w:jc w:val="center"/>
            </w:pPr>
            <w:r>
              <w:rPr>
                <w:rFonts w:eastAsia="DFKai-SB"/>
              </w:rPr>
              <w:t>21,361.24</w:t>
            </w:r>
          </w:p>
        </w:tc>
        <w:tc>
          <w:tcPr>
            <w:tcW w:w="900" w:type="dxa"/>
          </w:tcPr>
          <w:p>
            <w:pPr>
              <w:pStyle w:val="10"/>
              <w:spacing w:before="120" w:line="360" w:lineRule="exact"/>
              <w:ind w:left="-10" w:leftChars="-4"/>
              <w:jc w:val="center"/>
              <w:rPr>
                <w:rFonts w:eastAsia="PMingLiU"/>
                <w:lang w:eastAsia="zh-TW"/>
              </w:rPr>
            </w:pPr>
            <w:r>
              <w:rPr>
                <w:rFonts w:eastAsia="PMingLiU"/>
                <w:lang w:eastAsia="zh-TW"/>
              </w:rPr>
              <w:t>20,295.37</w:t>
            </w:r>
          </w:p>
        </w:tc>
        <w:tc>
          <w:tcPr>
            <w:tcW w:w="810" w:type="dxa"/>
          </w:tcPr>
          <w:p>
            <w:pPr>
              <w:pStyle w:val="10"/>
              <w:spacing w:before="120" w:line="360" w:lineRule="exact"/>
              <w:ind w:left="-10" w:leftChars="-4"/>
              <w:jc w:val="center"/>
              <w:rPr>
                <w:rFonts w:eastAsia="PMingLiU"/>
                <w:lang w:eastAsia="zh-TW"/>
              </w:rPr>
            </w:pPr>
            <w:r>
              <w:rPr>
                <w:rFonts w:eastAsia="PMingLiU"/>
                <w:lang w:eastAsia="zh-TW"/>
              </w:rPr>
              <w:t>1,065.87</w:t>
            </w:r>
          </w:p>
        </w:tc>
        <w:tc>
          <w:tcPr>
            <w:tcW w:w="900" w:type="dxa"/>
          </w:tcPr>
          <w:p>
            <w:pPr>
              <w:pStyle w:val="10"/>
              <w:spacing w:before="120" w:line="360" w:lineRule="exact"/>
              <w:ind w:left="-10" w:leftChars="-4"/>
              <w:jc w:val="center"/>
              <w:rPr>
                <w:rFonts w:eastAsia="PMingLiU"/>
                <w:lang w:eastAsia="zh-TW"/>
              </w:rPr>
            </w:pPr>
            <w:r>
              <w:rPr>
                <w:rFonts w:eastAsia="PMingLiU"/>
                <w:lang w:eastAsia="zh-TW"/>
              </w:rPr>
              <w:t>21,803.37</w:t>
            </w:r>
          </w:p>
        </w:tc>
        <w:tc>
          <w:tcPr>
            <w:tcW w:w="900" w:type="dxa"/>
          </w:tcPr>
          <w:p>
            <w:pPr>
              <w:pStyle w:val="10"/>
              <w:spacing w:before="120" w:line="360" w:lineRule="exact"/>
              <w:ind w:left="-10" w:leftChars="-4"/>
              <w:jc w:val="center"/>
              <w:rPr>
                <w:rFonts w:eastAsia="PMingLiU"/>
                <w:lang w:eastAsia="zh-TW"/>
              </w:rPr>
            </w:pPr>
            <w:r>
              <w:rPr>
                <w:rFonts w:eastAsia="PMingLiU"/>
                <w:lang w:eastAsia="zh-TW"/>
              </w:rPr>
              <w:t>818.23</w:t>
            </w:r>
          </w:p>
        </w:tc>
        <w:tc>
          <w:tcPr>
            <w:tcW w:w="1080" w:type="dxa"/>
          </w:tcPr>
          <w:p>
            <w:pPr>
              <w:pStyle w:val="10"/>
              <w:spacing w:before="120" w:line="360" w:lineRule="exact"/>
              <w:ind w:left="-10" w:leftChars="-4"/>
              <w:jc w:val="center"/>
            </w:pPr>
            <w:r>
              <w:rPr>
                <w:rFonts w:eastAsia="DFKai-SB"/>
              </w:rPr>
              <w:t>818.15</w:t>
            </w:r>
          </w:p>
        </w:tc>
        <w:tc>
          <w:tcPr>
            <w:tcW w:w="1130" w:type="dxa"/>
          </w:tcPr>
          <w:p>
            <w:pPr>
              <w:pStyle w:val="10"/>
              <w:spacing w:before="120" w:line="360" w:lineRule="exact"/>
              <w:ind w:left="-10" w:leftChars="-4"/>
              <w:jc w:val="center"/>
              <w:rPr>
                <w:rFonts w:eastAsia="DFKai-SB"/>
              </w:rPr>
            </w:pPr>
            <w:r>
              <w:rPr>
                <w:rFonts w:eastAsia="DFKai-SB"/>
              </w:rPr>
              <w:t>613.28</w:t>
            </w:r>
          </w:p>
        </w:tc>
        <w:tc>
          <w:tcPr>
            <w:tcW w:w="1277" w:type="dxa"/>
          </w:tcPr>
          <w:p>
            <w:pPr>
              <w:pStyle w:val="10"/>
              <w:spacing w:before="120" w:line="360" w:lineRule="exact"/>
              <w:ind w:left="-10" w:leftChars="-4"/>
              <w:jc w:val="center"/>
            </w:pPr>
            <w:r>
              <w:rPr>
                <w:rFonts w:eastAsia="DFKai-SB"/>
              </w:rPr>
              <w:t>6603.17</w:t>
            </w:r>
          </w:p>
        </w:tc>
      </w:tr>
    </w:tbl>
    <w:p>
      <w:pPr>
        <w:pStyle w:val="5"/>
        <w:snapToGrid w:val="0"/>
        <w:jc w:val="both"/>
        <w:rPr>
          <w:rFonts w:ascii="Times New Roman" w:hAnsi="Times New Roman" w:eastAsia="DengXian"/>
          <w:bCs/>
          <w:szCs w:val="24"/>
          <w:lang w:val="zh-CN" w:eastAsia="zh-CN"/>
        </w:rPr>
      </w:pPr>
    </w:p>
    <w:p>
      <w:pPr>
        <w:rPr>
          <w:rFonts w:ascii="DFKai-SB" w:hAnsi="DFKai-SB" w:eastAsia="DFKai-SB"/>
          <w:b/>
          <w:bCs/>
        </w:rPr>
      </w:pPr>
      <w:r>
        <w:rPr>
          <w:rFonts w:ascii="DFKai-SB" w:hAnsi="DFKai-SB" w:eastAsia="DFKai-SB"/>
          <w:b/>
        </w:rPr>
        <w:t>專業人士及同意</w:t>
      </w:r>
      <w:r>
        <w:rPr>
          <w:rFonts w:hint="eastAsia" w:ascii="DFKai-SB" w:hAnsi="DFKai-SB" w:eastAsia="DFKai-SB" w:cs="宋体"/>
          <w:b/>
        </w:rPr>
        <w:t>書</w:t>
      </w:r>
    </w:p>
    <w:p>
      <w:pPr>
        <w:rPr>
          <w:rFonts w:eastAsia="DFKai-SB"/>
          <w:bCs/>
        </w:rPr>
      </w:pPr>
      <w:r>
        <w:rPr>
          <w:rFonts w:hint="eastAsia" w:eastAsia="DFKai-SB"/>
          <w:bCs/>
        </w:rPr>
        <w:t>於本公告日期，估值師作為中國合資格估值師，並無於本集團成員公司的股本或股權中擁有任何實益權益或任何權利（不論是否可依法強制執行）以認購或提名他人認購本集團任何成員公司證券；且其已發出（且並無撤回）同意書，同意刊發本公告、於其內文引述其名稱並於本公告載入其聲明。</w:t>
      </w:r>
    </w:p>
    <w:p>
      <w:pPr>
        <w:rPr>
          <w:rFonts w:eastAsia="DFKai-SB"/>
          <w:bCs/>
        </w:rPr>
      </w:pPr>
      <w:r>
        <w:rPr>
          <w:rFonts w:hint="eastAsia" w:eastAsia="DFKai-SB"/>
          <w:bCs/>
        </w:rPr>
        <w:t>如有任何歧義，本公告應以中文版本為準。</w:t>
      </w:r>
    </w:p>
    <w:p>
      <w:pPr>
        <w:pStyle w:val="26"/>
        <w:tabs>
          <w:tab w:val="left" w:pos="4981"/>
          <w:tab w:val="clear" w:pos="5100"/>
        </w:tabs>
        <w:spacing w:line="240" w:lineRule="auto"/>
        <w:ind w:left="110" w:right="-1710" w:firstLine="3859"/>
        <w:jc w:val="center"/>
        <w:rPr>
          <w:rFonts w:ascii="Times New Roman" w:hAnsi="Times New Roman" w:eastAsia="DFKai-SB"/>
          <w:color w:val="auto"/>
          <w:sz w:val="24"/>
          <w:szCs w:val="24"/>
          <w:lang w:eastAsia="zh-TW"/>
        </w:rPr>
      </w:pPr>
      <w:r>
        <w:rPr>
          <w:rFonts w:hint="eastAsia" w:ascii="Times New Roman" w:hAnsi="Times New Roman" w:eastAsia="DFKai-SB"/>
          <w:color w:val="auto"/>
          <w:sz w:val="24"/>
          <w:szCs w:val="24"/>
          <w:lang w:eastAsia="zh-TW"/>
        </w:rPr>
        <w:t>承董事會命</w:t>
      </w:r>
    </w:p>
    <w:p>
      <w:pPr>
        <w:pStyle w:val="26"/>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3859"/>
        <w:jc w:val="center"/>
        <w:rPr>
          <w:rFonts w:ascii="Times New Roman" w:hAnsi="Times New Roman" w:eastAsia="DFKai-SB"/>
          <w:b/>
          <w:bCs/>
          <w:color w:val="auto"/>
          <w:sz w:val="24"/>
          <w:szCs w:val="24"/>
          <w:lang w:eastAsia="zh-TW"/>
        </w:rPr>
      </w:pPr>
      <w:r>
        <w:rPr>
          <w:rFonts w:hint="eastAsia" w:ascii="Times New Roman" w:hAnsi="Times New Roman" w:eastAsia="DFKai-SB"/>
          <w:b/>
          <w:bCs/>
          <w:color w:val="auto"/>
          <w:sz w:val="24"/>
          <w:szCs w:val="24"/>
          <w:lang w:eastAsia="zh-TW"/>
        </w:rPr>
        <w:t>山東新華製藥股份有限公司</w:t>
      </w:r>
    </w:p>
    <w:p>
      <w:pPr>
        <w:pStyle w:val="26"/>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3859"/>
        <w:jc w:val="center"/>
        <w:rPr>
          <w:rFonts w:ascii="Times New Roman" w:hAnsi="Times New Roman" w:eastAsia="DFKai-SB"/>
          <w:b/>
          <w:bCs/>
          <w:color w:val="auto"/>
          <w:sz w:val="24"/>
          <w:szCs w:val="24"/>
          <w:lang w:eastAsia="zh-TW"/>
        </w:rPr>
      </w:pPr>
      <w:r>
        <w:rPr>
          <w:rFonts w:hint="eastAsia" w:ascii="Times New Roman" w:hAnsi="Times New Roman" w:eastAsia="DFKai-SB"/>
          <w:b/>
          <w:bCs/>
          <w:color w:val="auto"/>
          <w:sz w:val="24"/>
          <w:szCs w:val="24"/>
          <w:lang w:eastAsia="zh-TW"/>
        </w:rPr>
        <w:t>張代銘</w:t>
      </w:r>
    </w:p>
    <w:p>
      <w:pPr>
        <w:pStyle w:val="26"/>
        <w:tabs>
          <w:tab w:val="left" w:pos="4981"/>
          <w:tab w:val="clear" w:pos="5100"/>
        </w:tabs>
        <w:spacing w:line="240" w:lineRule="auto"/>
        <w:ind w:left="110" w:right="-1710" w:firstLine="3859"/>
        <w:jc w:val="center"/>
        <w:rPr>
          <w:rFonts w:ascii="Times New Roman" w:hAnsi="Times New Roman" w:eastAsia="DFKai-SB"/>
          <w:i/>
          <w:iCs/>
          <w:color w:val="auto"/>
          <w:sz w:val="24"/>
          <w:szCs w:val="24"/>
          <w:lang w:eastAsia="zh-TW"/>
        </w:rPr>
      </w:pPr>
      <w:r>
        <w:rPr>
          <w:rFonts w:hint="eastAsia" w:ascii="Times New Roman" w:hAnsi="Times New Roman" w:eastAsia="DFKai-SB"/>
          <w:i/>
          <w:iCs/>
          <w:color w:val="auto"/>
          <w:sz w:val="24"/>
          <w:szCs w:val="24"/>
          <w:lang w:eastAsia="zh-TW"/>
        </w:rPr>
        <w:t>董事長</w:t>
      </w:r>
    </w:p>
    <w:p>
      <w:pPr>
        <w:pStyle w:val="5"/>
        <w:snapToGrid w:val="0"/>
        <w:jc w:val="both"/>
        <w:rPr>
          <w:rFonts w:ascii="Times New Roman" w:hAnsi="Times New Roman" w:eastAsia="DFKai-SB"/>
          <w:szCs w:val="24"/>
        </w:rPr>
      </w:pPr>
    </w:p>
    <w:p>
      <w:pPr>
        <w:pStyle w:val="5"/>
        <w:snapToGrid w:val="0"/>
        <w:jc w:val="both"/>
        <w:rPr>
          <w:rFonts w:ascii="Times New Roman" w:hAnsi="Times New Roman" w:eastAsia="DFKai-SB"/>
          <w:bCs/>
          <w:szCs w:val="24"/>
        </w:rPr>
      </w:pPr>
      <w:r>
        <w:rPr>
          <w:rFonts w:hint="eastAsia" w:ascii="Times New Roman" w:hAnsi="Times New Roman" w:eastAsia="DFKai-SB"/>
          <w:szCs w:val="24"/>
        </w:rPr>
        <w:t>中國淄博，</w:t>
      </w:r>
      <w:r>
        <w:rPr>
          <w:rFonts w:ascii="Times New Roman" w:hAnsi="Times New Roman" w:eastAsia="DFKai-SB"/>
          <w:bCs/>
          <w:szCs w:val="24"/>
        </w:rPr>
        <w:t>2020</w:t>
      </w:r>
      <w:r>
        <w:rPr>
          <w:rFonts w:hint="eastAsia" w:ascii="Times New Roman" w:hAnsi="Times New Roman" w:eastAsia="DFKai-SB"/>
          <w:bCs/>
          <w:szCs w:val="24"/>
        </w:rPr>
        <w:t>年</w:t>
      </w:r>
      <w:r>
        <w:rPr>
          <w:rFonts w:ascii="Times New Roman" w:hAnsi="Times New Roman" w:eastAsia="DFKai-SB"/>
          <w:bCs/>
          <w:szCs w:val="24"/>
        </w:rPr>
        <w:t>12</w:t>
      </w:r>
      <w:r>
        <w:rPr>
          <w:rFonts w:hint="eastAsia" w:ascii="Times New Roman" w:hAnsi="Times New Roman" w:eastAsia="DFKai-SB"/>
          <w:bCs/>
          <w:szCs w:val="24"/>
        </w:rPr>
        <w:t>月</w:t>
      </w:r>
      <w:r>
        <w:rPr>
          <w:rFonts w:ascii="Times New Roman" w:hAnsi="Times New Roman" w:eastAsia="DFKai-SB"/>
          <w:bCs/>
          <w:szCs w:val="24"/>
        </w:rPr>
        <w:t>7</w:t>
      </w:r>
      <w:r>
        <w:rPr>
          <w:rFonts w:hint="eastAsia" w:ascii="Times New Roman" w:hAnsi="Times New Roman" w:eastAsia="DFKai-SB"/>
          <w:bCs/>
          <w:szCs w:val="24"/>
        </w:rPr>
        <w:t>日</w:t>
      </w:r>
    </w:p>
    <w:p>
      <w:pPr>
        <w:snapToGrid w:val="0"/>
        <w:jc w:val="both"/>
        <w:rPr>
          <w:rFonts w:eastAsia="DFKai-SB"/>
          <w:bCs/>
        </w:rPr>
      </w:pPr>
    </w:p>
    <w:p>
      <w:pPr>
        <w:snapToGrid w:val="0"/>
        <w:jc w:val="both"/>
        <w:rPr>
          <w:rFonts w:eastAsia="DFKai-SB"/>
          <w:bCs/>
        </w:rPr>
      </w:pPr>
    </w:p>
    <w:p>
      <w:pPr>
        <w:snapToGrid w:val="0"/>
        <w:jc w:val="both"/>
        <w:rPr>
          <w:rFonts w:eastAsia="DFKai-SB"/>
          <w:bCs/>
        </w:rPr>
      </w:pPr>
    </w:p>
    <w:p>
      <w:pPr>
        <w:snapToGrid w:val="0"/>
        <w:jc w:val="both"/>
        <w:rPr>
          <w:rFonts w:eastAsia="DFKai-SB"/>
          <w:color w:val="231F20"/>
          <w:spacing w:val="4"/>
        </w:rPr>
      </w:pPr>
      <w:r>
        <w:rPr>
          <w:rFonts w:hint="eastAsia" w:eastAsia="DFKai-SB"/>
          <w:color w:val="231F20"/>
          <w:spacing w:val="4"/>
        </w:rPr>
        <w:t>於本公告日期，本公司董事會由下列董事組成：</w:t>
      </w:r>
      <w:r>
        <w:rPr>
          <w:rFonts w:eastAsia="DFKai-SB"/>
          <w:color w:val="231F20"/>
          <w:spacing w:val="4"/>
        </w:rPr>
        <w:t xml:space="preserve"> </w:t>
      </w:r>
    </w:p>
    <w:p>
      <w:pPr>
        <w:snapToGrid w:val="0"/>
        <w:ind w:left="110"/>
        <w:jc w:val="both"/>
        <w:rPr>
          <w:rFonts w:eastAsia="DFKai-SB"/>
          <w:color w:val="231F20"/>
          <w:spacing w:val="4"/>
        </w:rPr>
      </w:pPr>
    </w:p>
    <w:tbl>
      <w:tblPr>
        <w:tblStyle w:val="16"/>
        <w:tblW w:w="8696" w:type="dxa"/>
        <w:tblInd w:w="-28" w:type="dxa"/>
        <w:tblLayout w:type="fixed"/>
        <w:tblCellMar>
          <w:top w:w="0" w:type="dxa"/>
          <w:left w:w="28" w:type="dxa"/>
          <w:bottom w:w="0" w:type="dxa"/>
          <w:right w:w="28" w:type="dxa"/>
        </w:tblCellMar>
      </w:tblPr>
      <w:tblGrid>
        <w:gridCol w:w="4348"/>
        <w:gridCol w:w="4348"/>
      </w:tblGrid>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hint="eastAsia" w:eastAsia="DFKai-SB"/>
                <w:color w:val="231F20"/>
                <w:spacing w:val="4"/>
                <w:u w:val="single"/>
              </w:rPr>
              <w:t>執行董事：</w:t>
            </w:r>
          </w:p>
          <w:p>
            <w:pPr>
              <w:snapToGrid w:val="0"/>
              <w:ind w:left="110"/>
              <w:jc w:val="both"/>
              <w:rPr>
                <w:rFonts w:eastAsia="DFKai-SB"/>
                <w:color w:val="231F20"/>
                <w:spacing w:val="4"/>
              </w:rPr>
            </w:pPr>
            <w:r>
              <w:rPr>
                <w:rFonts w:hint="eastAsia" w:eastAsia="DFKai-SB"/>
                <w:color w:val="231F20"/>
                <w:spacing w:val="4"/>
              </w:rPr>
              <w:t>張代銘先生（董事長）</w:t>
            </w:r>
          </w:p>
          <w:p>
            <w:pPr>
              <w:snapToGrid w:val="0"/>
              <w:ind w:left="110"/>
              <w:jc w:val="both"/>
              <w:rPr>
                <w:rFonts w:eastAsia="DFKai-SB"/>
                <w:color w:val="231F20"/>
                <w:spacing w:val="4"/>
              </w:rPr>
            </w:pPr>
            <w:r>
              <w:rPr>
                <w:rFonts w:hint="eastAsia" w:eastAsia="DFKai-SB"/>
                <w:color w:val="231F20"/>
                <w:spacing w:val="4"/>
              </w:rPr>
              <w:t>杜德平先生</w:t>
            </w:r>
          </w:p>
          <w:p>
            <w:pPr>
              <w:snapToGrid w:val="0"/>
              <w:ind w:left="110"/>
              <w:jc w:val="both"/>
              <w:rPr>
                <w:rFonts w:eastAsia="DFKai-SB"/>
                <w:color w:val="231F20"/>
                <w:spacing w:val="4"/>
              </w:rPr>
            </w:pPr>
          </w:p>
        </w:tc>
        <w:tc>
          <w:tcPr>
            <w:tcW w:w="4348" w:type="dxa"/>
          </w:tcPr>
          <w:p>
            <w:pPr>
              <w:snapToGrid w:val="0"/>
              <w:ind w:left="110"/>
              <w:jc w:val="both"/>
              <w:rPr>
                <w:rFonts w:eastAsia="DFKai-SB"/>
                <w:color w:val="231F20"/>
                <w:spacing w:val="4"/>
                <w:u w:val="single"/>
              </w:rPr>
            </w:pPr>
            <w:r>
              <w:rPr>
                <w:rFonts w:hint="eastAsia" w:eastAsia="DFKai-SB"/>
                <w:color w:val="231F20"/>
                <w:spacing w:val="4"/>
                <w:u w:val="single"/>
              </w:rPr>
              <w:t>獨立非執行董事：</w:t>
            </w:r>
          </w:p>
          <w:p>
            <w:pPr>
              <w:snapToGrid w:val="0"/>
              <w:ind w:left="110"/>
              <w:jc w:val="both"/>
              <w:rPr>
                <w:rFonts w:eastAsia="DFKai-SB"/>
                <w:color w:val="231F20"/>
                <w:spacing w:val="4"/>
              </w:rPr>
            </w:pPr>
            <w:r>
              <w:rPr>
                <w:rFonts w:hint="eastAsia" w:eastAsia="DFKai-SB"/>
                <w:color w:val="231F20"/>
                <w:spacing w:val="4"/>
              </w:rPr>
              <w:t>李文明先生</w:t>
            </w:r>
          </w:p>
          <w:p>
            <w:pPr>
              <w:snapToGrid w:val="0"/>
              <w:ind w:left="110"/>
              <w:jc w:val="both"/>
              <w:rPr>
                <w:rFonts w:eastAsia="DFKai-SB"/>
                <w:color w:val="231F20"/>
                <w:spacing w:val="4"/>
              </w:rPr>
            </w:pPr>
            <w:r>
              <w:rPr>
                <w:rFonts w:hint="eastAsia" w:eastAsia="DFKai-SB"/>
                <w:color w:val="231F20"/>
                <w:spacing w:val="4"/>
              </w:rPr>
              <w:t>杜冠華先生</w:t>
            </w:r>
          </w:p>
          <w:p>
            <w:pPr>
              <w:snapToGrid w:val="0"/>
              <w:ind w:left="110"/>
              <w:jc w:val="both"/>
              <w:rPr>
                <w:rFonts w:eastAsia="DFKai-SB"/>
                <w:color w:val="231F20"/>
                <w:spacing w:val="4"/>
              </w:rPr>
            </w:pPr>
            <w:r>
              <w:rPr>
                <w:rFonts w:hint="eastAsia" w:eastAsia="DFKai-SB"/>
                <w:color w:val="231F20"/>
                <w:spacing w:val="4"/>
              </w:rPr>
              <w:t>盧華威先生</w:t>
            </w:r>
          </w:p>
        </w:tc>
      </w:tr>
      <w:tr>
        <w:tblPrEx>
          <w:tblLayout w:type="fixed"/>
          <w:tblCellMar>
            <w:top w:w="0" w:type="dxa"/>
            <w:left w:w="28" w:type="dxa"/>
            <w:bottom w:w="0" w:type="dxa"/>
            <w:right w:w="28" w:type="dxa"/>
          </w:tblCellMar>
        </w:tblPrEx>
        <w:tc>
          <w:tcPr>
            <w:tcW w:w="4348" w:type="dxa"/>
          </w:tcPr>
          <w:p>
            <w:pPr>
              <w:snapToGrid w:val="0"/>
              <w:ind w:left="110"/>
              <w:jc w:val="both"/>
              <w:rPr>
                <w:rFonts w:eastAsia="DFKai-SB"/>
                <w:color w:val="231F20"/>
                <w:spacing w:val="4"/>
                <w:u w:val="single"/>
              </w:rPr>
            </w:pPr>
            <w:r>
              <w:rPr>
                <w:rFonts w:hint="eastAsia" w:eastAsia="DFKai-SB"/>
                <w:color w:val="231F20"/>
                <w:spacing w:val="4"/>
                <w:u w:val="single"/>
              </w:rPr>
              <w:t>非執行董事：</w:t>
            </w:r>
          </w:p>
          <w:p>
            <w:pPr>
              <w:snapToGrid w:val="0"/>
              <w:ind w:left="110"/>
              <w:jc w:val="both"/>
              <w:rPr>
                <w:rFonts w:eastAsia="DFKai-SB"/>
                <w:color w:val="231F20"/>
                <w:spacing w:val="4"/>
              </w:rPr>
            </w:pPr>
            <w:r>
              <w:rPr>
                <w:rFonts w:hint="eastAsia" w:eastAsia="DFKai-SB"/>
                <w:color w:val="231F20"/>
                <w:spacing w:val="4"/>
              </w:rPr>
              <w:t>任福龍先生</w:t>
            </w:r>
          </w:p>
          <w:p>
            <w:pPr>
              <w:snapToGrid w:val="0"/>
              <w:ind w:left="110"/>
              <w:jc w:val="both"/>
              <w:rPr>
                <w:rFonts w:eastAsia="DFKai-SB"/>
                <w:color w:val="231F20"/>
                <w:spacing w:val="4"/>
              </w:rPr>
            </w:pPr>
            <w:r>
              <w:rPr>
                <w:rFonts w:hint="eastAsia" w:eastAsia="DFKai-SB"/>
                <w:color w:val="231F20"/>
                <w:spacing w:val="4"/>
              </w:rPr>
              <w:t>徐列先生</w:t>
            </w:r>
          </w:p>
        </w:tc>
        <w:tc>
          <w:tcPr>
            <w:tcW w:w="4348" w:type="dxa"/>
          </w:tcPr>
          <w:p>
            <w:pPr>
              <w:snapToGrid w:val="0"/>
              <w:jc w:val="both"/>
              <w:rPr>
                <w:rFonts w:eastAsia="DFKai-SB"/>
                <w:color w:val="231F20"/>
                <w:spacing w:val="4"/>
              </w:rPr>
            </w:pPr>
          </w:p>
        </w:tc>
      </w:tr>
    </w:tbl>
    <w:p>
      <w:pPr>
        <w:rPr>
          <w:rFonts w:eastAsia="DFKai-SB"/>
          <w:b/>
        </w:rPr>
      </w:pPr>
    </w:p>
    <w:p>
      <w:pPr>
        <w:rPr>
          <w:rFonts w:eastAsia="DFKai-SB"/>
          <w:b/>
        </w:rPr>
      </w:pPr>
    </w:p>
    <w:p>
      <w:pPr>
        <w:rPr>
          <w:rFonts w:eastAsia="DFKai-SB"/>
          <w:b/>
        </w:rPr>
      </w:pPr>
    </w:p>
    <w:p>
      <w:pPr>
        <w:rPr>
          <w:rFonts w:eastAsia="DFKai-SB"/>
          <w:b/>
        </w:rPr>
      </w:pPr>
    </w:p>
    <w:p>
      <w:pPr>
        <w:rPr>
          <w:rFonts w:eastAsia="DFKai-SB"/>
          <w:b/>
        </w:rPr>
      </w:pPr>
    </w:p>
    <w:p>
      <w:pPr>
        <w:rPr>
          <w:rFonts w:eastAsia="DFKai-SB"/>
          <w:b/>
        </w:rPr>
      </w:pPr>
    </w:p>
    <w:p>
      <w:pPr>
        <w:rPr>
          <w:rFonts w:eastAsia="DFKai-SB"/>
          <w:b/>
        </w:rPr>
      </w:pPr>
    </w:p>
    <w:p>
      <w:pPr>
        <w:rPr>
          <w:rFonts w:eastAsia="DFKai-SB"/>
          <w:b/>
        </w:rPr>
      </w:pPr>
    </w:p>
    <w:p>
      <w:pPr>
        <w:jc w:val="center"/>
        <w:rPr>
          <w:rFonts w:eastAsia="DFKai-SB"/>
          <w:b/>
          <w:bCs/>
          <w:lang w:eastAsia="zh-HK"/>
        </w:rPr>
      </w:pPr>
      <w:r>
        <w:rPr>
          <w:rFonts w:eastAsia="DFKai-SB"/>
          <w:b/>
          <w:bCs/>
          <w:lang w:eastAsia="zh-HK"/>
        </w:rPr>
        <w:t>附錄</w:t>
      </w:r>
      <w:r>
        <w:rPr>
          <w:rStyle w:val="15"/>
          <w:rFonts w:eastAsia="DFKai-SB"/>
          <w:b/>
          <w:bCs/>
          <w:lang w:eastAsia="zh-HK"/>
        </w:rPr>
        <w:footnoteReference w:id="0"/>
      </w:r>
    </w:p>
    <w:p>
      <w:pPr>
        <w:jc w:val="center"/>
        <w:rPr>
          <w:rFonts w:eastAsia="DFKai-SB"/>
          <w:b/>
          <w:bCs/>
          <w:lang w:eastAsia="zh-HK"/>
        </w:rPr>
      </w:pPr>
      <w:r>
        <w:rPr>
          <w:rFonts w:eastAsia="DFKai-SB"/>
          <w:b/>
          <w:bCs/>
          <w:lang w:eastAsia="zh-HK"/>
        </w:rPr>
        <w:t>節錄自</w:t>
      </w:r>
      <w:r>
        <w:rPr>
          <w:rFonts w:hint="eastAsia" w:eastAsia="DFKai-SB"/>
          <w:b/>
          <w:bCs/>
          <w:lang w:eastAsia="zh-HK"/>
        </w:rPr>
        <w:t>股東權益價值估值報告</w:t>
      </w:r>
      <w:r>
        <w:rPr>
          <w:rFonts w:eastAsia="DFKai-SB"/>
          <w:b/>
          <w:bCs/>
          <w:lang w:eastAsia="zh-HK"/>
        </w:rPr>
        <w:t>:評估的主要假設基</w:t>
      </w:r>
      <w:r>
        <w:rPr>
          <w:rFonts w:hint="eastAsia" w:eastAsia="DFKai-SB"/>
          <w:b/>
          <w:bCs/>
          <w:lang w:eastAsia="zh-HK"/>
        </w:rPr>
        <w:t>準</w:t>
      </w:r>
    </w:p>
    <w:p>
      <w:pPr>
        <w:rPr>
          <w:rFonts w:eastAsia="DFKai-SB"/>
          <w:b/>
          <w:bCs/>
          <w:lang w:eastAsia="zh-HK"/>
        </w:rPr>
      </w:pPr>
      <w:r>
        <w:rPr>
          <w:rFonts w:eastAsia="DFKai-SB"/>
          <w:b/>
          <w:bCs/>
          <w:lang w:eastAsia="zh-HK"/>
        </w:rPr>
        <w:t>（一） 一般假</w:t>
      </w:r>
      <w:r>
        <w:rPr>
          <w:rFonts w:hint="eastAsia" w:eastAsia="DFKai-SB"/>
          <w:b/>
          <w:bCs/>
          <w:lang w:eastAsia="zh-HK"/>
        </w:rPr>
        <w:t>設</w:t>
      </w:r>
    </w:p>
    <w:p>
      <w:pPr>
        <w:pStyle w:val="36"/>
        <w:numPr>
          <w:ilvl w:val="0"/>
          <w:numId w:val="9"/>
        </w:numPr>
        <w:ind w:hanging="630"/>
        <w:rPr>
          <w:rFonts w:eastAsia="DFKai-SB"/>
          <w:bCs/>
          <w:lang w:eastAsia="zh-HK"/>
        </w:rPr>
      </w:pPr>
      <w:r>
        <w:rPr>
          <w:rFonts w:hint="eastAsia" w:eastAsia="DFKai-SB"/>
          <w:bCs/>
          <w:lang w:eastAsia="zh-HK"/>
        </w:rPr>
        <w:t>交易假設：假定所有待評估資產已經處在交易過程中，</w:t>
      </w:r>
      <w:r>
        <w:rPr>
          <w:rFonts w:eastAsia="DFKai-SB"/>
          <w:bCs/>
          <w:lang w:eastAsia="zh-HK"/>
        </w:rPr>
        <w:t>估值師</w:t>
      </w:r>
      <w:r>
        <w:rPr>
          <w:rFonts w:hint="eastAsia" w:eastAsia="DFKai-SB"/>
          <w:bCs/>
          <w:lang w:eastAsia="zh-HK"/>
        </w:rPr>
        <w:t>根據待評估資產的交易條件等類比市場進行估價。</w:t>
      </w:r>
    </w:p>
    <w:p>
      <w:pPr>
        <w:pStyle w:val="36"/>
        <w:numPr>
          <w:ilvl w:val="0"/>
          <w:numId w:val="9"/>
        </w:numPr>
        <w:ind w:hanging="630"/>
        <w:rPr>
          <w:rFonts w:eastAsia="DFKai-SB"/>
          <w:bCs/>
          <w:lang w:eastAsia="zh-HK"/>
        </w:rPr>
      </w:pPr>
      <w:r>
        <w:rPr>
          <w:rFonts w:hint="eastAsia" w:eastAsia="DFKai-SB"/>
          <w:bCs/>
          <w:lang w:eastAsia="zh-HK"/>
        </w:rPr>
        <w:t>公開市場假設：公開市場假設是對資產擬進入的市場的條件以及資產在這樣的市場條件下接受何種影響的一種假定。公開市場是指充分發達與完善的市場條件，是指一個有自願的買方和賣方的競爭性市場，在這個市場上，買方和賣方的地位平等，都有獲取足夠市場訊息的機會和時間，買賣雙方的交易都是在自願的、理智的、非強制性或不受限制的條件下進行。</w:t>
      </w:r>
    </w:p>
    <w:p>
      <w:pPr>
        <w:pStyle w:val="36"/>
        <w:numPr>
          <w:ilvl w:val="0"/>
          <w:numId w:val="9"/>
        </w:numPr>
        <w:ind w:hanging="630"/>
        <w:rPr>
          <w:rFonts w:eastAsia="DFKai-SB"/>
          <w:bCs/>
          <w:lang w:eastAsia="zh-HK"/>
        </w:rPr>
      </w:pPr>
      <w:r>
        <w:rPr>
          <w:rFonts w:hint="eastAsia" w:eastAsia="DFKai-SB"/>
          <w:bCs/>
          <w:lang w:eastAsia="zh-HK"/>
        </w:rPr>
        <w:t>持續使用假設：持續使用假設是對資產擬進入市場的條件以及資產在這樣的市場條件下的資產狀態的一種假定。首先被評估資產正處於使用狀態，其次假定處於使用狀態的資產還將繼續使用下去。在持續使用假設條件下，沒有考慮資產用途轉換或者最佳利用條件，其評估結果的使用範圍受到限制。</w:t>
      </w:r>
    </w:p>
    <w:p>
      <w:pPr>
        <w:pStyle w:val="36"/>
        <w:numPr>
          <w:ilvl w:val="0"/>
          <w:numId w:val="9"/>
        </w:numPr>
        <w:ind w:hanging="630"/>
        <w:rPr>
          <w:rFonts w:eastAsia="DFKai-SB"/>
          <w:bCs/>
          <w:lang w:eastAsia="zh-HK"/>
        </w:rPr>
      </w:pPr>
      <w:r>
        <w:rPr>
          <w:rFonts w:hint="eastAsia" w:eastAsia="DFKai-SB"/>
          <w:bCs/>
          <w:lang w:eastAsia="zh-HK"/>
        </w:rPr>
        <w:t>企業持續經營假設：是將企業整體資產作為評估對象而做出的評估假定。即企業作為經營主體，在所處的外部環境下，按照經營目標，持續經營下去。企業經營者負責並有能力擔當責任；企業合法經營，並能夠獲取適當利潤，以維持持續經營能力。</w:t>
      </w:r>
    </w:p>
    <w:p>
      <w:pPr>
        <w:pStyle w:val="36"/>
        <w:numPr>
          <w:ilvl w:val="0"/>
          <w:numId w:val="9"/>
        </w:numPr>
        <w:ind w:hanging="630"/>
        <w:rPr>
          <w:rFonts w:eastAsia="DFKai-SB"/>
          <w:bCs/>
          <w:lang w:eastAsia="zh-HK"/>
        </w:rPr>
      </w:pPr>
      <w:r>
        <w:rPr>
          <w:rFonts w:hint="eastAsia" w:eastAsia="DFKai-SB"/>
          <w:bCs/>
          <w:lang w:eastAsia="zh-HK"/>
        </w:rPr>
        <w:t>資料真實性假設：假設企業所提供的財務會計資料及其他與評估相關的資料真實、準確、完整，不存在虛假、誤導、或重大遺漏。</w:t>
      </w:r>
    </w:p>
    <w:p>
      <w:pPr>
        <w:ind w:hanging="90"/>
        <w:jc w:val="both"/>
        <w:rPr>
          <w:rFonts w:eastAsia="DFKai-SB"/>
          <w:b/>
          <w:bCs/>
          <w:lang w:eastAsia="zh-HK"/>
        </w:rPr>
      </w:pPr>
      <w:r>
        <w:rPr>
          <w:rFonts w:eastAsia="DFKai-SB"/>
          <w:b/>
          <w:bCs/>
          <w:lang w:eastAsia="zh-HK"/>
        </w:rPr>
        <w:t xml:space="preserve">（二） </w:t>
      </w:r>
      <w:r>
        <w:rPr>
          <w:rFonts w:hint="eastAsia" w:eastAsia="DFKai-SB"/>
          <w:b/>
          <w:bCs/>
        </w:rPr>
        <w:t>收益法評估假設</w:t>
      </w:r>
    </w:p>
    <w:p>
      <w:pPr>
        <w:pStyle w:val="4"/>
        <w:numPr>
          <w:ilvl w:val="3"/>
          <w:numId w:val="10"/>
        </w:numPr>
        <w:tabs>
          <w:tab w:val="left" w:pos="851"/>
        </w:tabs>
        <w:snapToGrid w:val="0"/>
        <w:spacing w:line="360" w:lineRule="auto"/>
        <w:ind w:left="720" w:hanging="720"/>
        <w:rPr>
          <w:rFonts w:eastAsia="DFKai-SB"/>
          <w:bCs/>
          <w:kern w:val="2"/>
          <w:szCs w:val="24"/>
          <w:lang w:eastAsia="zh-HK"/>
        </w:rPr>
      </w:pPr>
      <w:r>
        <w:rPr>
          <w:rFonts w:hint="eastAsia" w:eastAsia="DFKai-SB"/>
          <w:bCs/>
          <w:kern w:val="2"/>
          <w:szCs w:val="24"/>
          <w:lang w:eastAsia="zh-TW"/>
        </w:rPr>
        <w:t>國家現行的有關法律、法規及政策，國家宏觀經濟形勢無重大變化；本次交易各方所處地區的政治、經濟和社會環境無重大變化；無其他不可預測和不可抗力因素造成的重大不利影響。</w:t>
      </w:r>
    </w:p>
    <w:p>
      <w:pPr>
        <w:pStyle w:val="4"/>
        <w:numPr>
          <w:ilvl w:val="3"/>
          <w:numId w:val="10"/>
        </w:numPr>
        <w:tabs>
          <w:tab w:val="left" w:pos="851"/>
        </w:tabs>
        <w:snapToGrid w:val="0"/>
        <w:spacing w:line="360" w:lineRule="auto"/>
        <w:ind w:left="720" w:hanging="720"/>
        <w:rPr>
          <w:rFonts w:eastAsia="DFKai-SB"/>
          <w:bCs/>
          <w:kern w:val="2"/>
          <w:szCs w:val="24"/>
          <w:lang w:eastAsia="zh-HK"/>
        </w:rPr>
      </w:pPr>
      <w:r>
        <w:rPr>
          <w:rFonts w:hint="eastAsia" w:eastAsia="DFKai-SB"/>
          <w:bCs/>
          <w:kern w:val="2"/>
          <w:szCs w:val="24"/>
          <w:lang w:eastAsia="zh-TW"/>
        </w:rPr>
        <w:t>假設企業的經營者是負責的，且企業管理層有能力擔當其職務。</w:t>
      </w:r>
    </w:p>
    <w:p>
      <w:pPr>
        <w:pStyle w:val="4"/>
        <w:numPr>
          <w:ilvl w:val="3"/>
          <w:numId w:val="10"/>
        </w:numPr>
        <w:tabs>
          <w:tab w:val="left" w:pos="851"/>
        </w:tabs>
        <w:snapToGrid w:val="0"/>
        <w:spacing w:line="360" w:lineRule="auto"/>
        <w:ind w:left="720" w:hanging="720"/>
        <w:rPr>
          <w:rFonts w:eastAsia="DFKai-SB"/>
          <w:bCs/>
          <w:kern w:val="2"/>
          <w:szCs w:val="24"/>
          <w:lang w:eastAsia="zh-HK"/>
        </w:rPr>
      </w:pPr>
      <w:r>
        <w:rPr>
          <w:rFonts w:hint="eastAsia" w:eastAsia="DFKai-SB"/>
          <w:bCs/>
          <w:kern w:val="2"/>
          <w:szCs w:val="24"/>
          <w:lang w:eastAsia="zh-TW"/>
        </w:rPr>
        <w:t>除非另有說明，假設企業完全遵守所有有關的法律和法規。</w:t>
      </w:r>
    </w:p>
    <w:p>
      <w:pPr>
        <w:pStyle w:val="4"/>
        <w:numPr>
          <w:ilvl w:val="3"/>
          <w:numId w:val="10"/>
        </w:numPr>
        <w:tabs>
          <w:tab w:val="left" w:pos="851"/>
        </w:tabs>
        <w:snapToGrid w:val="0"/>
        <w:spacing w:line="360" w:lineRule="auto"/>
        <w:ind w:left="720" w:hanging="720"/>
        <w:rPr>
          <w:rFonts w:eastAsia="DFKai-SB"/>
          <w:bCs/>
          <w:kern w:val="2"/>
          <w:szCs w:val="24"/>
          <w:lang w:eastAsia="zh-HK"/>
        </w:rPr>
      </w:pPr>
      <w:r>
        <w:rPr>
          <w:rFonts w:hint="eastAsia" w:eastAsia="DFKai-SB"/>
          <w:bCs/>
          <w:kern w:val="2"/>
          <w:szCs w:val="24"/>
          <w:lang w:eastAsia="zh-TW"/>
        </w:rPr>
        <w:t>假設企業未來將採取的會計政策和編寫此份報告時所採用的會計政策在重要方面基本一致。</w:t>
      </w:r>
    </w:p>
    <w:p>
      <w:pPr>
        <w:pStyle w:val="4"/>
        <w:numPr>
          <w:ilvl w:val="3"/>
          <w:numId w:val="10"/>
        </w:numPr>
        <w:tabs>
          <w:tab w:val="left" w:pos="851"/>
        </w:tabs>
        <w:snapToGrid w:val="0"/>
        <w:spacing w:line="360" w:lineRule="auto"/>
        <w:ind w:left="720" w:hanging="720"/>
        <w:rPr>
          <w:rFonts w:eastAsia="DFKai-SB"/>
          <w:bCs/>
          <w:kern w:val="2"/>
          <w:szCs w:val="24"/>
          <w:lang w:eastAsia="zh-HK"/>
        </w:rPr>
      </w:pPr>
      <w:r>
        <w:rPr>
          <w:rFonts w:hint="eastAsia" w:eastAsia="DFKai-SB"/>
          <w:bCs/>
          <w:kern w:val="2"/>
          <w:szCs w:val="24"/>
          <w:lang w:eastAsia="zh-TW"/>
        </w:rPr>
        <w:t>假設企業在現有的管理方式和管理水準的基礎上，經營範圍、方式與現時方向保持一致。</w:t>
      </w:r>
    </w:p>
    <w:p>
      <w:pPr>
        <w:pStyle w:val="4"/>
        <w:numPr>
          <w:ilvl w:val="3"/>
          <w:numId w:val="10"/>
        </w:numPr>
        <w:tabs>
          <w:tab w:val="left" w:pos="851"/>
        </w:tabs>
        <w:snapToGrid w:val="0"/>
        <w:spacing w:line="360" w:lineRule="auto"/>
        <w:ind w:left="720" w:hanging="720"/>
        <w:rPr>
          <w:rFonts w:eastAsia="DFKai-SB"/>
          <w:bCs/>
          <w:kern w:val="2"/>
          <w:szCs w:val="24"/>
          <w:lang w:eastAsia="zh-HK"/>
        </w:rPr>
      </w:pPr>
      <w:r>
        <w:rPr>
          <w:rFonts w:hint="eastAsia" w:eastAsia="DFKai-SB"/>
          <w:bCs/>
          <w:kern w:val="2"/>
          <w:szCs w:val="24"/>
          <w:lang w:eastAsia="zh-TW"/>
        </w:rPr>
        <w:t>假設企業預測年度現金流為均勻產生。</w:t>
      </w:r>
    </w:p>
    <w:p>
      <w:pPr>
        <w:pStyle w:val="4"/>
        <w:numPr>
          <w:ilvl w:val="3"/>
          <w:numId w:val="10"/>
        </w:numPr>
        <w:tabs>
          <w:tab w:val="left" w:pos="851"/>
        </w:tabs>
        <w:snapToGrid w:val="0"/>
        <w:spacing w:line="360" w:lineRule="auto"/>
        <w:ind w:left="720" w:hanging="720"/>
        <w:rPr>
          <w:rFonts w:eastAsia="DFKai-SB"/>
          <w:bCs/>
          <w:kern w:val="2"/>
          <w:szCs w:val="24"/>
          <w:lang w:eastAsia="zh-HK"/>
        </w:rPr>
      </w:pPr>
      <w:bookmarkStart w:id="1" w:name="_Hlk52274937"/>
      <w:r>
        <w:rPr>
          <w:rFonts w:hint="eastAsia" w:eastAsia="DFKai-SB"/>
          <w:bCs/>
          <w:kern w:val="2"/>
          <w:szCs w:val="24"/>
          <w:lang w:eastAsia="zh-TW"/>
        </w:rPr>
        <w:t>評估基準日至報告日各項稅率未發生變化，假設未來年度有關利率、匯率、賦稅基準及稅率，政策性徵收費用等不發生重大變化。</w:t>
      </w:r>
    </w:p>
    <w:bookmarkEnd w:id="1"/>
    <w:p>
      <w:pPr>
        <w:pStyle w:val="4"/>
        <w:numPr>
          <w:ilvl w:val="3"/>
          <w:numId w:val="10"/>
        </w:numPr>
        <w:tabs>
          <w:tab w:val="left" w:pos="851"/>
        </w:tabs>
        <w:snapToGrid w:val="0"/>
        <w:spacing w:line="360" w:lineRule="auto"/>
        <w:ind w:left="720" w:hanging="720"/>
        <w:rPr>
          <w:rFonts w:eastAsia="DFKai-SB"/>
          <w:bCs/>
          <w:kern w:val="2"/>
          <w:szCs w:val="24"/>
          <w:lang w:eastAsia="zh-HK"/>
        </w:rPr>
      </w:pPr>
      <w:bookmarkStart w:id="2" w:name="_Hlk52275033"/>
      <w:r>
        <w:rPr>
          <w:rFonts w:hint="eastAsia" w:eastAsia="DFKai-SB"/>
          <w:bCs/>
          <w:kern w:val="2"/>
          <w:szCs w:val="24"/>
          <w:lang w:eastAsia="zh-TW"/>
        </w:rPr>
        <w:t>受新冠肺炎疫情影響，</w:t>
      </w:r>
      <w:r>
        <w:rPr>
          <w:rFonts w:eastAsia="DFKai-SB"/>
          <w:bCs/>
          <w:kern w:val="2"/>
          <w:szCs w:val="24"/>
          <w:lang w:eastAsia="zh-TW"/>
        </w:rPr>
        <w:t>2020</w:t>
      </w:r>
      <w:r>
        <w:rPr>
          <w:rFonts w:hint="eastAsia" w:eastAsia="DFKai-SB"/>
          <w:bCs/>
          <w:kern w:val="2"/>
          <w:szCs w:val="24"/>
          <w:lang w:eastAsia="zh-TW"/>
        </w:rPr>
        <w:t>年被評估單位口罩銷售收入大幅增加，受疫情影響較大，具有較大的不確定性，</w:t>
      </w:r>
      <w:r>
        <w:rPr>
          <w:rFonts w:eastAsia="DFKai-SB"/>
          <w:bCs/>
          <w:kern w:val="2"/>
          <w:szCs w:val="24"/>
          <w:lang w:eastAsia="zh-TW"/>
        </w:rPr>
        <w:t>2020</w:t>
      </w:r>
      <w:r>
        <w:rPr>
          <w:rFonts w:hint="eastAsia" w:eastAsia="DFKai-SB"/>
          <w:bCs/>
          <w:kern w:val="2"/>
          <w:szCs w:val="24"/>
          <w:lang w:eastAsia="zh-TW"/>
        </w:rPr>
        <w:t>年</w:t>
      </w:r>
      <w:r>
        <w:rPr>
          <w:rFonts w:eastAsia="DFKai-SB"/>
          <w:bCs/>
          <w:kern w:val="2"/>
          <w:szCs w:val="24"/>
          <w:lang w:eastAsia="zh-TW"/>
        </w:rPr>
        <w:t>8-12</w:t>
      </w:r>
      <w:r>
        <w:rPr>
          <w:rFonts w:hint="eastAsia" w:eastAsia="DFKai-SB"/>
          <w:bCs/>
          <w:kern w:val="2"/>
          <w:szCs w:val="24"/>
          <w:lang w:eastAsia="zh-TW"/>
        </w:rPr>
        <w:t>月按照已簽訂的口罩銷售合同進行預測，</w:t>
      </w:r>
      <w:r>
        <w:rPr>
          <w:rFonts w:eastAsia="DFKai-SB"/>
          <w:bCs/>
          <w:kern w:val="2"/>
          <w:szCs w:val="24"/>
          <w:lang w:eastAsia="zh-TW"/>
        </w:rPr>
        <w:t>2021</w:t>
      </w:r>
      <w:r>
        <w:rPr>
          <w:rFonts w:hint="eastAsia" w:eastAsia="DFKai-SB"/>
          <w:bCs/>
          <w:kern w:val="2"/>
          <w:szCs w:val="24"/>
          <w:lang w:eastAsia="zh-TW"/>
        </w:rPr>
        <w:t>年及以後年度不考慮疫情的影響。假設評估基準日後除受疫情影響的口罩銷售業務外，企業其他的產品或服務保持目前的市場競爭態勢。</w:t>
      </w:r>
    </w:p>
    <w:bookmarkEnd w:id="2"/>
    <w:p>
      <w:pPr>
        <w:jc w:val="both"/>
        <w:rPr>
          <w:rFonts w:eastAsia="DFKai-SB"/>
          <w:b/>
          <w:bCs/>
          <w:lang w:eastAsia="zh-HK"/>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Times LT Std">
    <w:altName w:val="MingLiU"/>
    <w:panose1 w:val="00000000000000000000"/>
    <w:charset w:val="88"/>
    <w:family w:val="roman"/>
    <w:pitch w:val="default"/>
    <w:sig w:usb0="00000000" w:usb1="00000000" w:usb2="00000010" w:usb3="00000000" w:csb0="00100000" w:csb1="00000000"/>
  </w:font>
  <w:font w:name="Times">
    <w:altName w:val="Times New Roman"/>
    <w:panose1 w:val="02020603050405020304"/>
    <w:charset w:val="00"/>
    <w:family w:val="roman"/>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DengXian">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16"/>
      </w:rPr>
    </w:pPr>
    <w:r>
      <w:rPr>
        <w:sz w:val="16"/>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317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57785" cy="131445"/>
                      </a:xfrm>
                      <a:prstGeom prst="rect">
                        <a:avLst/>
                      </a:prstGeom>
                      <a:noFill/>
                      <a:ln>
                        <a:noFill/>
                      </a:ln>
                    </wps:spPr>
                    <wps:txbx>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4</w:t>
                          </w:r>
                          <w:r>
                            <w:rPr>
                              <w:rFonts w:hint="eastAsia" w:eastAsia="宋体"/>
                              <w:sz w:val="18"/>
                              <w:lang w:eastAsia="zh-CN"/>
                            </w:rPr>
                            <w:fldChar w:fldCharType="end"/>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RY/VtEAAAAC&#10;AQAADwAAAAAAAAABACAAAAAiAAAAZHJzL2Rvd25yZXYueG1sUEsBAhQAFAAAAAgAh07iQJZpZb7q&#10;AQAAqQMAAA4AAAAAAAAAAQAgAAAAIAEAAGRycy9lMm9Eb2MueG1sUEsFBgAAAAAGAAYAWQEAAHwF&#10;AAAAAA==&#10;">
              <v:fill on="f" focussize="0,0"/>
              <v:stroke on="f"/>
              <v:imagedata o:title=""/>
              <o:lock v:ext="edit" aspectratio="f"/>
              <v:textbox inset="0mm,0mm,0mm,0mm"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4</w:t>
                    </w:r>
                    <w:r>
                      <w:rPr>
                        <w:rFonts w:hint="eastAsia" w:eastAsia="宋体"/>
                        <w:sz w:val="18"/>
                        <w:lang w:eastAsia="zh-CN"/>
                      </w:rPr>
                      <w:fldChar w:fldCharType="end"/>
                    </w:r>
                  </w:p>
                </w:txbxContent>
              </v:textbox>
            </v:rect>
          </w:pict>
        </mc:Fallback>
      </mc:AlternateContent>
    </w:r>
  </w:p>
  <w:p>
    <w:pPr>
      <w:pStyle w:val="7"/>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pPr>
      <w:r>
        <w:rPr>
          <w:rStyle w:val="15"/>
        </w:rPr>
        <w:footnoteRef/>
      </w:r>
      <w:r>
        <w:t xml:space="preserve"> </w:t>
      </w:r>
      <w:r>
        <w:rPr>
          <w:rFonts w:hint="eastAsia" w:ascii="DFKai-SB" w:hAnsi="DFKai-SB" w:eastAsia="DFKai-SB"/>
          <w:i/>
        </w:rPr>
        <w:t>註: 除非文義另有定義, 本附錄中「企業」指稱新華大藥店。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295"/>
    <w:multiLevelType w:val="multilevel"/>
    <w:tmpl w:val="04F96295"/>
    <w:lvl w:ilvl="0" w:tentative="0">
      <w:start w:val="1"/>
      <w:numFmt w:val="lowerRoman"/>
      <w:lvlText w:val="(%1)"/>
      <w:lvlJc w:val="left"/>
      <w:pPr>
        <w:ind w:left="720" w:hanging="360"/>
      </w:pPr>
      <w:rPr>
        <w:rFonts w:hint="default" w:ascii="Times New Roman" w:hAnsi="Times New Roman" w:eastAsia="Times New Roman" w:cs="Times New Roman"/>
        <w:color w:val="231916"/>
        <w:spacing w:val="0"/>
        <w:w w:val="100"/>
        <w:sz w:val="22"/>
        <w:szCs w:val="22"/>
        <w:lang w:val="zh-TW" w:eastAsia="zh-TW" w:bidi="zh-T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798689F"/>
    <w:multiLevelType w:val="multilevel"/>
    <w:tmpl w:val="1798689F"/>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decimal"/>
      <w:lvlText w:val="%6."/>
      <w:lvlJc w:val="lef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1C25033"/>
    <w:multiLevelType w:val="multilevel"/>
    <w:tmpl w:val="21C25033"/>
    <w:lvl w:ilvl="0" w:tentative="0">
      <w:start w:val="1"/>
      <w:numFmt w:val="low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5DC2EC3"/>
    <w:multiLevelType w:val="multilevel"/>
    <w:tmpl w:val="25DC2EC3"/>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33A7F58"/>
    <w:multiLevelType w:val="multilevel"/>
    <w:tmpl w:val="333A7F58"/>
    <w:lvl w:ilvl="0" w:tentative="0">
      <w:start w:val="1"/>
      <w:numFmt w:val="lowerLetter"/>
      <w:lvlText w:val="(%1)"/>
      <w:lvlJc w:val="left"/>
      <w:pPr>
        <w:ind w:left="720" w:hanging="360"/>
      </w:pPr>
      <w:rPr>
        <w:rFonts w:hint="default"/>
        <w:b w:val="0"/>
        <w:bCs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3743418C"/>
    <w:multiLevelType w:val="multilevel"/>
    <w:tmpl w:val="3743418C"/>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63B6C83"/>
    <w:multiLevelType w:val="multilevel"/>
    <w:tmpl w:val="563B6C83"/>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
    <w:nsid w:val="5C974EAF"/>
    <w:multiLevelType w:val="multilevel"/>
    <w:tmpl w:val="5C974EAF"/>
    <w:lvl w:ilvl="0" w:tentative="0">
      <w:start w:val="1"/>
      <w:numFmt w:val="lowerRoman"/>
      <w:lvlText w:val="(%1)"/>
      <w:lvlJc w:val="left"/>
      <w:pPr>
        <w:ind w:left="720" w:hanging="360"/>
      </w:pPr>
      <w:rPr>
        <w:rFonts w:hint="default" w:ascii="Times New Roman" w:hAnsi="Times New Roman" w:eastAsia="Times New Roman" w:cs="Times New Roman"/>
        <w:color w:val="231916"/>
        <w:spacing w:val="0"/>
        <w:w w:val="100"/>
        <w:sz w:val="22"/>
        <w:szCs w:val="22"/>
        <w:lang w:val="zh-TW" w:eastAsia="zh-TW" w:bidi="zh-T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1C174E0"/>
    <w:multiLevelType w:val="multilevel"/>
    <w:tmpl w:val="61C174E0"/>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70D03444"/>
    <w:multiLevelType w:val="multilevel"/>
    <w:tmpl w:val="70D03444"/>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2"/>
  </w:num>
  <w:num w:numId="3">
    <w:abstractNumId w:val="4"/>
  </w:num>
  <w:num w:numId="4">
    <w:abstractNumId w:val="8"/>
  </w:num>
  <w:num w:numId="5">
    <w:abstractNumId w:val="7"/>
  </w:num>
  <w:num w:numId="6">
    <w:abstractNumId w:val="0"/>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AD"/>
    <w:rsid w:val="0001010D"/>
    <w:rsid w:val="000109B1"/>
    <w:rsid w:val="000141E3"/>
    <w:rsid w:val="0001545A"/>
    <w:rsid w:val="00022F63"/>
    <w:rsid w:val="00026AE1"/>
    <w:rsid w:val="00037294"/>
    <w:rsid w:val="00037834"/>
    <w:rsid w:val="00044EA4"/>
    <w:rsid w:val="0004745C"/>
    <w:rsid w:val="000540F2"/>
    <w:rsid w:val="0006132A"/>
    <w:rsid w:val="00067CBD"/>
    <w:rsid w:val="0007303F"/>
    <w:rsid w:val="00074384"/>
    <w:rsid w:val="00075E6F"/>
    <w:rsid w:val="000827ED"/>
    <w:rsid w:val="000979E2"/>
    <w:rsid w:val="000A12D6"/>
    <w:rsid w:val="000A3070"/>
    <w:rsid w:val="000A55D5"/>
    <w:rsid w:val="000B0380"/>
    <w:rsid w:val="000B6D2A"/>
    <w:rsid w:val="000C298D"/>
    <w:rsid w:val="000C4C85"/>
    <w:rsid w:val="000C643F"/>
    <w:rsid w:val="000D6561"/>
    <w:rsid w:val="000D7E1D"/>
    <w:rsid w:val="000E36A3"/>
    <w:rsid w:val="000F53EA"/>
    <w:rsid w:val="00102627"/>
    <w:rsid w:val="001074B5"/>
    <w:rsid w:val="00115363"/>
    <w:rsid w:val="00131E51"/>
    <w:rsid w:val="001322F3"/>
    <w:rsid w:val="00137B38"/>
    <w:rsid w:val="00151DE5"/>
    <w:rsid w:val="001536BE"/>
    <w:rsid w:val="001555E1"/>
    <w:rsid w:val="001579F6"/>
    <w:rsid w:val="00161A28"/>
    <w:rsid w:val="001641B5"/>
    <w:rsid w:val="00172A27"/>
    <w:rsid w:val="001744A4"/>
    <w:rsid w:val="001771CC"/>
    <w:rsid w:val="00183D1A"/>
    <w:rsid w:val="00190D51"/>
    <w:rsid w:val="001926E5"/>
    <w:rsid w:val="001946D8"/>
    <w:rsid w:val="00196C25"/>
    <w:rsid w:val="00197588"/>
    <w:rsid w:val="001A285C"/>
    <w:rsid w:val="001B2AC4"/>
    <w:rsid w:val="001C0FC5"/>
    <w:rsid w:val="001C1ABF"/>
    <w:rsid w:val="001D1191"/>
    <w:rsid w:val="001D2E9A"/>
    <w:rsid w:val="001E4E55"/>
    <w:rsid w:val="001E74DB"/>
    <w:rsid w:val="001F2EA1"/>
    <w:rsid w:val="00202CA1"/>
    <w:rsid w:val="00210E5A"/>
    <w:rsid w:val="00225A2C"/>
    <w:rsid w:val="002409FE"/>
    <w:rsid w:val="0024494A"/>
    <w:rsid w:val="00247FBE"/>
    <w:rsid w:val="002756B7"/>
    <w:rsid w:val="00276C22"/>
    <w:rsid w:val="00287CB2"/>
    <w:rsid w:val="00296374"/>
    <w:rsid w:val="0029736D"/>
    <w:rsid w:val="002A617C"/>
    <w:rsid w:val="002C0EC6"/>
    <w:rsid w:val="002C3D5B"/>
    <w:rsid w:val="002D17B9"/>
    <w:rsid w:val="002E09AF"/>
    <w:rsid w:val="002E60ED"/>
    <w:rsid w:val="002F01AF"/>
    <w:rsid w:val="002F0D1F"/>
    <w:rsid w:val="002F1A70"/>
    <w:rsid w:val="002F79A9"/>
    <w:rsid w:val="003109FD"/>
    <w:rsid w:val="00310ABF"/>
    <w:rsid w:val="00317E2F"/>
    <w:rsid w:val="00337886"/>
    <w:rsid w:val="003415C4"/>
    <w:rsid w:val="00342A2D"/>
    <w:rsid w:val="00347777"/>
    <w:rsid w:val="00353B9F"/>
    <w:rsid w:val="00383EDB"/>
    <w:rsid w:val="003A09FA"/>
    <w:rsid w:val="003A137A"/>
    <w:rsid w:val="003A7477"/>
    <w:rsid w:val="003B0D94"/>
    <w:rsid w:val="003B18DC"/>
    <w:rsid w:val="003C5923"/>
    <w:rsid w:val="003D247D"/>
    <w:rsid w:val="003D5113"/>
    <w:rsid w:val="003D60BA"/>
    <w:rsid w:val="003D77F7"/>
    <w:rsid w:val="003D7A3F"/>
    <w:rsid w:val="003E604A"/>
    <w:rsid w:val="003E6E6F"/>
    <w:rsid w:val="003F25F8"/>
    <w:rsid w:val="00402F68"/>
    <w:rsid w:val="00407C59"/>
    <w:rsid w:val="00412DAB"/>
    <w:rsid w:val="00423C75"/>
    <w:rsid w:val="00425804"/>
    <w:rsid w:val="00436C47"/>
    <w:rsid w:val="0044101F"/>
    <w:rsid w:val="00444C9D"/>
    <w:rsid w:val="00445366"/>
    <w:rsid w:val="004475D4"/>
    <w:rsid w:val="004517E0"/>
    <w:rsid w:val="004606E7"/>
    <w:rsid w:val="00460E93"/>
    <w:rsid w:val="00461F3A"/>
    <w:rsid w:val="0047226D"/>
    <w:rsid w:val="00472A2E"/>
    <w:rsid w:val="00495B45"/>
    <w:rsid w:val="004A18F4"/>
    <w:rsid w:val="004A429A"/>
    <w:rsid w:val="004B6227"/>
    <w:rsid w:val="004B7A75"/>
    <w:rsid w:val="004C17D0"/>
    <w:rsid w:val="004C5281"/>
    <w:rsid w:val="004C7085"/>
    <w:rsid w:val="004C76F7"/>
    <w:rsid w:val="004D579D"/>
    <w:rsid w:val="004E502A"/>
    <w:rsid w:val="004E655D"/>
    <w:rsid w:val="00505B67"/>
    <w:rsid w:val="00510E03"/>
    <w:rsid w:val="005142BB"/>
    <w:rsid w:val="00517739"/>
    <w:rsid w:val="00522907"/>
    <w:rsid w:val="005549CE"/>
    <w:rsid w:val="0056235F"/>
    <w:rsid w:val="0056286D"/>
    <w:rsid w:val="00575DB1"/>
    <w:rsid w:val="0058172F"/>
    <w:rsid w:val="005B5C87"/>
    <w:rsid w:val="005D74C3"/>
    <w:rsid w:val="005E2F5B"/>
    <w:rsid w:val="005E3521"/>
    <w:rsid w:val="005E3B12"/>
    <w:rsid w:val="005F03DA"/>
    <w:rsid w:val="00602F37"/>
    <w:rsid w:val="00611C33"/>
    <w:rsid w:val="00613042"/>
    <w:rsid w:val="0061488E"/>
    <w:rsid w:val="00614C74"/>
    <w:rsid w:val="00626C16"/>
    <w:rsid w:val="00652661"/>
    <w:rsid w:val="00653460"/>
    <w:rsid w:val="00665871"/>
    <w:rsid w:val="00667011"/>
    <w:rsid w:val="00671A3A"/>
    <w:rsid w:val="006769DB"/>
    <w:rsid w:val="00681D28"/>
    <w:rsid w:val="00685E91"/>
    <w:rsid w:val="00686A34"/>
    <w:rsid w:val="006938FC"/>
    <w:rsid w:val="006971DB"/>
    <w:rsid w:val="006A1297"/>
    <w:rsid w:val="006A18AF"/>
    <w:rsid w:val="006B7312"/>
    <w:rsid w:val="006D0DAC"/>
    <w:rsid w:val="006D5864"/>
    <w:rsid w:val="006D75B1"/>
    <w:rsid w:val="006F4D5C"/>
    <w:rsid w:val="00710C98"/>
    <w:rsid w:val="007112BA"/>
    <w:rsid w:val="00715D7D"/>
    <w:rsid w:val="007352EB"/>
    <w:rsid w:val="00737196"/>
    <w:rsid w:val="007379E8"/>
    <w:rsid w:val="00737F3D"/>
    <w:rsid w:val="00741C61"/>
    <w:rsid w:val="00754330"/>
    <w:rsid w:val="007577AA"/>
    <w:rsid w:val="007709BC"/>
    <w:rsid w:val="007742FF"/>
    <w:rsid w:val="00787FE0"/>
    <w:rsid w:val="007B098C"/>
    <w:rsid w:val="007B2368"/>
    <w:rsid w:val="007C4821"/>
    <w:rsid w:val="007D19B4"/>
    <w:rsid w:val="007D1DD5"/>
    <w:rsid w:val="007D51B6"/>
    <w:rsid w:val="007D5FFD"/>
    <w:rsid w:val="007E6243"/>
    <w:rsid w:val="007E6F0E"/>
    <w:rsid w:val="007F2DDC"/>
    <w:rsid w:val="00805234"/>
    <w:rsid w:val="00805D40"/>
    <w:rsid w:val="00811B2C"/>
    <w:rsid w:val="00822A94"/>
    <w:rsid w:val="00823179"/>
    <w:rsid w:val="008232E4"/>
    <w:rsid w:val="00831E65"/>
    <w:rsid w:val="00832019"/>
    <w:rsid w:val="00832570"/>
    <w:rsid w:val="00836BC6"/>
    <w:rsid w:val="00837247"/>
    <w:rsid w:val="0083791C"/>
    <w:rsid w:val="008417E4"/>
    <w:rsid w:val="00843177"/>
    <w:rsid w:val="00845178"/>
    <w:rsid w:val="0087025F"/>
    <w:rsid w:val="00870C8B"/>
    <w:rsid w:val="0088009C"/>
    <w:rsid w:val="00895250"/>
    <w:rsid w:val="008966B2"/>
    <w:rsid w:val="008B656B"/>
    <w:rsid w:val="008C04E0"/>
    <w:rsid w:val="008D44EC"/>
    <w:rsid w:val="008E16F0"/>
    <w:rsid w:val="008E184C"/>
    <w:rsid w:val="008F7DF2"/>
    <w:rsid w:val="00900C78"/>
    <w:rsid w:val="00914389"/>
    <w:rsid w:val="00924E89"/>
    <w:rsid w:val="00925010"/>
    <w:rsid w:val="0092540A"/>
    <w:rsid w:val="009409AE"/>
    <w:rsid w:val="00951A41"/>
    <w:rsid w:val="00971645"/>
    <w:rsid w:val="009759CC"/>
    <w:rsid w:val="00995C57"/>
    <w:rsid w:val="009A0F8C"/>
    <w:rsid w:val="009A2454"/>
    <w:rsid w:val="009A4C27"/>
    <w:rsid w:val="009A567A"/>
    <w:rsid w:val="009D5424"/>
    <w:rsid w:val="009E3394"/>
    <w:rsid w:val="009E3A65"/>
    <w:rsid w:val="009E7580"/>
    <w:rsid w:val="009F73A6"/>
    <w:rsid w:val="00A028E1"/>
    <w:rsid w:val="00A052D1"/>
    <w:rsid w:val="00A1083E"/>
    <w:rsid w:val="00A22942"/>
    <w:rsid w:val="00A34B65"/>
    <w:rsid w:val="00A401F9"/>
    <w:rsid w:val="00A43C27"/>
    <w:rsid w:val="00A44716"/>
    <w:rsid w:val="00A50729"/>
    <w:rsid w:val="00A52D75"/>
    <w:rsid w:val="00A641B9"/>
    <w:rsid w:val="00A6479D"/>
    <w:rsid w:val="00A727BD"/>
    <w:rsid w:val="00A73E6B"/>
    <w:rsid w:val="00A92601"/>
    <w:rsid w:val="00A945DE"/>
    <w:rsid w:val="00AA2A10"/>
    <w:rsid w:val="00AB223A"/>
    <w:rsid w:val="00AB6687"/>
    <w:rsid w:val="00AC2DE1"/>
    <w:rsid w:val="00AD34F3"/>
    <w:rsid w:val="00AE5FB8"/>
    <w:rsid w:val="00AF0FB9"/>
    <w:rsid w:val="00AF18D0"/>
    <w:rsid w:val="00AF2D04"/>
    <w:rsid w:val="00B04276"/>
    <w:rsid w:val="00B06E63"/>
    <w:rsid w:val="00B0725E"/>
    <w:rsid w:val="00B1113C"/>
    <w:rsid w:val="00B24066"/>
    <w:rsid w:val="00B35A61"/>
    <w:rsid w:val="00B45495"/>
    <w:rsid w:val="00B47314"/>
    <w:rsid w:val="00B47970"/>
    <w:rsid w:val="00B60E6C"/>
    <w:rsid w:val="00B61BF4"/>
    <w:rsid w:val="00B72AE2"/>
    <w:rsid w:val="00B7322D"/>
    <w:rsid w:val="00B73511"/>
    <w:rsid w:val="00B807FC"/>
    <w:rsid w:val="00B80EF9"/>
    <w:rsid w:val="00B8335B"/>
    <w:rsid w:val="00B83F2B"/>
    <w:rsid w:val="00B844F6"/>
    <w:rsid w:val="00B9598C"/>
    <w:rsid w:val="00BA2712"/>
    <w:rsid w:val="00BA6E20"/>
    <w:rsid w:val="00BB4303"/>
    <w:rsid w:val="00BC38BA"/>
    <w:rsid w:val="00BD7ADF"/>
    <w:rsid w:val="00BE0007"/>
    <w:rsid w:val="00BE292C"/>
    <w:rsid w:val="00BF182F"/>
    <w:rsid w:val="00BF1D55"/>
    <w:rsid w:val="00C1122E"/>
    <w:rsid w:val="00C15DD4"/>
    <w:rsid w:val="00C2082C"/>
    <w:rsid w:val="00C25CFE"/>
    <w:rsid w:val="00C27C60"/>
    <w:rsid w:val="00C36B46"/>
    <w:rsid w:val="00C42AE9"/>
    <w:rsid w:val="00C456C9"/>
    <w:rsid w:val="00C45905"/>
    <w:rsid w:val="00C46678"/>
    <w:rsid w:val="00C51A6A"/>
    <w:rsid w:val="00C6514E"/>
    <w:rsid w:val="00C669CB"/>
    <w:rsid w:val="00C732B3"/>
    <w:rsid w:val="00C831E5"/>
    <w:rsid w:val="00C846BB"/>
    <w:rsid w:val="00C84D60"/>
    <w:rsid w:val="00C87794"/>
    <w:rsid w:val="00C97847"/>
    <w:rsid w:val="00CA5D10"/>
    <w:rsid w:val="00CB0351"/>
    <w:rsid w:val="00CC55F5"/>
    <w:rsid w:val="00CD39A0"/>
    <w:rsid w:val="00CD5DCE"/>
    <w:rsid w:val="00CD6249"/>
    <w:rsid w:val="00CE77C7"/>
    <w:rsid w:val="00CE7EFC"/>
    <w:rsid w:val="00D2214F"/>
    <w:rsid w:val="00D35D62"/>
    <w:rsid w:val="00D43610"/>
    <w:rsid w:val="00D438F6"/>
    <w:rsid w:val="00D45108"/>
    <w:rsid w:val="00D57C71"/>
    <w:rsid w:val="00D6280A"/>
    <w:rsid w:val="00D66114"/>
    <w:rsid w:val="00D71509"/>
    <w:rsid w:val="00D73692"/>
    <w:rsid w:val="00D77BF4"/>
    <w:rsid w:val="00D9741B"/>
    <w:rsid w:val="00DA143E"/>
    <w:rsid w:val="00DA37D2"/>
    <w:rsid w:val="00DA3886"/>
    <w:rsid w:val="00DB7F89"/>
    <w:rsid w:val="00DC7475"/>
    <w:rsid w:val="00DE5A2D"/>
    <w:rsid w:val="00E01243"/>
    <w:rsid w:val="00E1118D"/>
    <w:rsid w:val="00E142C2"/>
    <w:rsid w:val="00E325AA"/>
    <w:rsid w:val="00E36783"/>
    <w:rsid w:val="00E402A9"/>
    <w:rsid w:val="00E40A3F"/>
    <w:rsid w:val="00E46C6A"/>
    <w:rsid w:val="00E55F1B"/>
    <w:rsid w:val="00E6447F"/>
    <w:rsid w:val="00E659B3"/>
    <w:rsid w:val="00E71EE3"/>
    <w:rsid w:val="00E71F59"/>
    <w:rsid w:val="00E73730"/>
    <w:rsid w:val="00E73D37"/>
    <w:rsid w:val="00E773A4"/>
    <w:rsid w:val="00E8231F"/>
    <w:rsid w:val="00E86BBA"/>
    <w:rsid w:val="00E946EE"/>
    <w:rsid w:val="00EA506B"/>
    <w:rsid w:val="00EB073F"/>
    <w:rsid w:val="00EB1F32"/>
    <w:rsid w:val="00EB7B78"/>
    <w:rsid w:val="00EC71C6"/>
    <w:rsid w:val="00ED0550"/>
    <w:rsid w:val="00ED15E1"/>
    <w:rsid w:val="00EE0B32"/>
    <w:rsid w:val="00EE3290"/>
    <w:rsid w:val="00EE7707"/>
    <w:rsid w:val="00EF05DC"/>
    <w:rsid w:val="00EF30CD"/>
    <w:rsid w:val="00EF4112"/>
    <w:rsid w:val="00EF716D"/>
    <w:rsid w:val="00EF74DE"/>
    <w:rsid w:val="00F05F81"/>
    <w:rsid w:val="00F100A8"/>
    <w:rsid w:val="00F177E6"/>
    <w:rsid w:val="00F21A20"/>
    <w:rsid w:val="00F239B8"/>
    <w:rsid w:val="00F31082"/>
    <w:rsid w:val="00F32DC6"/>
    <w:rsid w:val="00F41815"/>
    <w:rsid w:val="00F42D03"/>
    <w:rsid w:val="00F55AE7"/>
    <w:rsid w:val="00F74AA2"/>
    <w:rsid w:val="00F8224E"/>
    <w:rsid w:val="00F83EB4"/>
    <w:rsid w:val="00F945AD"/>
    <w:rsid w:val="00F946D6"/>
    <w:rsid w:val="00FA7EC4"/>
    <w:rsid w:val="00FB1B85"/>
    <w:rsid w:val="00FC137F"/>
    <w:rsid w:val="00FD0DF3"/>
    <w:rsid w:val="00FD49FB"/>
    <w:rsid w:val="00FF26DD"/>
    <w:rsid w:val="00FF7B92"/>
    <w:rsid w:val="045A5791"/>
    <w:rsid w:val="165413BC"/>
    <w:rsid w:val="17C50BCF"/>
    <w:rsid w:val="21EC0072"/>
    <w:rsid w:val="256868CC"/>
    <w:rsid w:val="2C7906B7"/>
    <w:rsid w:val="3A3B6948"/>
    <w:rsid w:val="3DA373FB"/>
    <w:rsid w:val="3FD0436B"/>
    <w:rsid w:val="40136D6D"/>
    <w:rsid w:val="435F061C"/>
    <w:rsid w:val="747568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iPriority="0" w:semiHidden="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pPr>
    <w:rPr>
      <w:rFonts w:ascii="Times New Roman" w:hAnsi="Times New Roman" w:eastAsia="PMingLiU" w:cs="Times New Roman"/>
      <w:kern w:val="2"/>
      <w:sz w:val="24"/>
      <w:szCs w:val="24"/>
      <w:lang w:val="en-US" w:eastAsia="zh-TW" w:bidi="ar-SA"/>
    </w:rPr>
  </w:style>
  <w:style w:type="character" w:default="1" w:styleId="12">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7"/>
    <w:unhideWhenUsed/>
    <w:qFormat/>
    <w:uiPriority w:val="0"/>
    <w:rPr>
      <w:sz w:val="20"/>
      <w:szCs w:val="20"/>
    </w:rPr>
  </w:style>
  <w:style w:type="paragraph" w:styleId="4">
    <w:name w:val="Normal Indent"/>
    <w:basedOn w:val="1"/>
    <w:link w:val="23"/>
    <w:qFormat/>
    <w:uiPriority w:val="0"/>
    <w:pPr>
      <w:adjustRightInd w:val="0"/>
      <w:spacing w:before="60" w:after="60" w:line="312" w:lineRule="atLeast"/>
      <w:ind w:firstLine="420"/>
      <w:jc w:val="both"/>
      <w:textAlignment w:val="baseline"/>
    </w:pPr>
    <w:rPr>
      <w:rFonts w:eastAsia="宋体"/>
      <w:kern w:val="0"/>
      <w:szCs w:val="20"/>
      <w:lang w:eastAsia="zh-CN"/>
    </w:rPr>
  </w:style>
  <w:style w:type="paragraph" w:styleId="5">
    <w:name w:val="Plain Text"/>
    <w:basedOn w:val="1"/>
    <w:link w:val="25"/>
    <w:semiHidden/>
    <w:qFormat/>
    <w:uiPriority w:val="0"/>
    <w:rPr>
      <w:rFonts w:ascii="MingLiU" w:hAnsi="Courier New" w:eastAsia="MingLiU"/>
      <w:szCs w:val="22"/>
    </w:rPr>
  </w:style>
  <w:style w:type="paragraph" w:styleId="6">
    <w:name w:val="Balloon Text"/>
    <w:basedOn w:val="1"/>
    <w:link w:val="18"/>
    <w:unhideWhenUsed/>
    <w:qFormat/>
    <w:uiPriority w:val="99"/>
    <w:rPr>
      <w:rFonts w:ascii="Segoe UI" w:hAnsi="Segoe UI" w:cs="Segoe UI"/>
      <w:sz w:val="18"/>
      <w:szCs w:val="18"/>
    </w:rPr>
  </w:style>
  <w:style w:type="paragraph" w:styleId="7">
    <w:name w:val="footer"/>
    <w:basedOn w:val="1"/>
    <w:link w:val="22"/>
    <w:unhideWhenUsed/>
    <w:qFormat/>
    <w:uiPriority w:val="0"/>
    <w:pPr>
      <w:tabs>
        <w:tab w:val="center" w:pos="4513"/>
        <w:tab w:val="right" w:pos="9026"/>
      </w:tabs>
    </w:pPr>
  </w:style>
  <w:style w:type="paragraph" w:styleId="8">
    <w:name w:val="header"/>
    <w:basedOn w:val="1"/>
    <w:link w:val="37"/>
    <w:unhideWhenUsed/>
    <w:qFormat/>
    <w:uiPriority w:val="0"/>
    <w:pPr>
      <w:tabs>
        <w:tab w:val="center" w:pos="4680"/>
        <w:tab w:val="right" w:pos="9360"/>
      </w:tabs>
      <w:spacing w:after="0" w:line="240" w:lineRule="auto"/>
    </w:pPr>
  </w:style>
  <w:style w:type="paragraph" w:styleId="9">
    <w:name w:val="footnote text"/>
    <w:basedOn w:val="1"/>
    <w:link w:val="21"/>
    <w:unhideWhenUsed/>
    <w:qFormat/>
    <w:uiPriority w:val="0"/>
    <w:rPr>
      <w:sz w:val="20"/>
      <w:szCs w:val="20"/>
    </w:rPr>
  </w:style>
  <w:style w:type="paragraph" w:styleId="10">
    <w:name w:val="Body Text Indent 3"/>
    <w:basedOn w:val="1"/>
    <w:link w:val="19"/>
    <w:qFormat/>
    <w:uiPriority w:val="99"/>
    <w:pPr>
      <w:spacing w:after="120"/>
      <w:ind w:left="420" w:leftChars="200"/>
      <w:jc w:val="both"/>
    </w:pPr>
    <w:rPr>
      <w:rFonts w:eastAsia="宋体"/>
      <w:sz w:val="16"/>
      <w:szCs w:val="16"/>
      <w:lang w:eastAsia="zh-CN"/>
    </w:rPr>
  </w:style>
  <w:style w:type="paragraph" w:styleId="11">
    <w:name w:val="Normal (Web)"/>
    <w:basedOn w:val="1"/>
    <w:unhideWhenUsed/>
    <w:qFormat/>
    <w:uiPriority w:val="99"/>
    <w:pPr>
      <w:widowControl/>
      <w:spacing w:before="100" w:beforeAutospacing="1" w:after="100" w:afterAutospacing="1"/>
    </w:pPr>
    <w:rPr>
      <w:rFonts w:eastAsia="Times New Roman"/>
      <w:kern w:val="0"/>
      <w:lang w:val="zh-CN"/>
    </w:rPr>
  </w:style>
  <w:style w:type="character" w:styleId="13">
    <w:name w:val="page number"/>
    <w:basedOn w:val="12"/>
    <w:unhideWhenUsed/>
    <w:qFormat/>
    <w:uiPriority w:val="0"/>
  </w:style>
  <w:style w:type="character" w:styleId="14">
    <w:name w:val="annotation reference"/>
    <w:basedOn w:val="12"/>
    <w:unhideWhenUsed/>
    <w:qFormat/>
    <w:uiPriority w:val="0"/>
    <w:rPr>
      <w:sz w:val="16"/>
      <w:szCs w:val="16"/>
    </w:rPr>
  </w:style>
  <w:style w:type="character" w:styleId="15">
    <w:name w:val="footnote reference"/>
    <w:unhideWhenUsed/>
    <w:qFormat/>
    <w:uiPriority w:val="0"/>
    <w:rPr>
      <w:vertAlign w:val="superscript"/>
    </w:rPr>
  </w:style>
  <w:style w:type="character" w:customStyle="1" w:styleId="17">
    <w:name w:val="Comment Text Char"/>
    <w:link w:val="3"/>
    <w:semiHidden/>
    <w:qFormat/>
    <w:uiPriority w:val="0"/>
    <w:rPr>
      <w:rFonts w:eastAsia="PMingLiU"/>
      <w:kern w:val="2"/>
      <w:lang w:val="en-US" w:eastAsia="zh-TW"/>
    </w:rPr>
  </w:style>
  <w:style w:type="character" w:customStyle="1" w:styleId="18">
    <w:name w:val="Balloon Text Char"/>
    <w:link w:val="6"/>
    <w:semiHidden/>
    <w:qFormat/>
    <w:uiPriority w:val="99"/>
    <w:rPr>
      <w:rFonts w:ascii="Segoe UI" w:hAnsi="Segoe UI" w:eastAsia="PMingLiU" w:cs="Segoe UI"/>
      <w:kern w:val="2"/>
      <w:sz w:val="18"/>
      <w:szCs w:val="18"/>
      <w:lang w:eastAsia="zh-TW"/>
    </w:rPr>
  </w:style>
  <w:style w:type="character" w:customStyle="1" w:styleId="19">
    <w:name w:val="Body Text Indent 3 Char"/>
    <w:link w:val="10"/>
    <w:qFormat/>
    <w:uiPriority w:val="99"/>
    <w:rPr>
      <w:rFonts w:ascii="Times New Roman" w:hAnsi="Times New Roman" w:eastAsia="宋体" w:cs="Times New Roman"/>
      <w:kern w:val="2"/>
      <w:sz w:val="16"/>
      <w:szCs w:val="16"/>
      <w:lang w:eastAsia="zh-CN"/>
    </w:rPr>
  </w:style>
  <w:style w:type="character" w:customStyle="1" w:styleId="20">
    <w:name w:val="Comment Subject Char"/>
    <w:link w:val="2"/>
    <w:semiHidden/>
    <w:qFormat/>
    <w:uiPriority w:val="99"/>
    <w:rPr>
      <w:rFonts w:eastAsia="PMingLiU"/>
      <w:b/>
      <w:bCs/>
      <w:kern w:val="2"/>
      <w:lang w:val="en-US" w:eastAsia="zh-TW"/>
    </w:rPr>
  </w:style>
  <w:style w:type="character" w:customStyle="1" w:styleId="21">
    <w:name w:val="Footnote Text Char"/>
    <w:link w:val="9"/>
    <w:semiHidden/>
    <w:qFormat/>
    <w:uiPriority w:val="0"/>
    <w:rPr>
      <w:rFonts w:eastAsia="PMingLiU"/>
      <w:kern w:val="2"/>
      <w:lang w:val="en-US" w:eastAsia="zh-TW"/>
    </w:rPr>
  </w:style>
  <w:style w:type="character" w:customStyle="1" w:styleId="22">
    <w:name w:val="Footer Char"/>
    <w:link w:val="7"/>
    <w:qFormat/>
    <w:uiPriority w:val="0"/>
    <w:rPr>
      <w:rFonts w:ascii="Times New Roman" w:hAnsi="Times New Roman" w:eastAsia="PMingLiU" w:cs="Times New Roman"/>
      <w:kern w:val="2"/>
      <w:sz w:val="24"/>
      <w:szCs w:val="24"/>
      <w:lang w:eastAsia="zh-TW"/>
    </w:rPr>
  </w:style>
  <w:style w:type="character" w:customStyle="1" w:styleId="23">
    <w:name w:val="Normal Indent Char"/>
    <w:link w:val="4"/>
    <w:qFormat/>
    <w:uiPriority w:val="0"/>
    <w:rPr>
      <w:sz w:val="24"/>
      <w:lang w:val="en-US"/>
    </w:rPr>
  </w:style>
  <w:style w:type="character" w:customStyle="1" w:styleId="24">
    <w:name w:val="E_Regular"/>
    <w:qFormat/>
    <w:uiPriority w:val="99"/>
    <w:rPr>
      <w:rFonts w:ascii="Times LT Std" w:hAnsi="Times LT Std" w:cs="Times LT Std"/>
    </w:rPr>
  </w:style>
  <w:style w:type="character" w:customStyle="1" w:styleId="25">
    <w:name w:val="Plain Text Char"/>
    <w:link w:val="5"/>
    <w:semiHidden/>
    <w:qFormat/>
    <w:uiPriority w:val="0"/>
    <w:rPr>
      <w:rFonts w:ascii="MingLiU" w:hAnsi="Courier New" w:eastAsia="MingLiU" w:cs="Times New Roman"/>
      <w:kern w:val="2"/>
      <w:sz w:val="24"/>
      <w:lang w:eastAsia="zh-TW"/>
    </w:rPr>
  </w:style>
  <w:style w:type="paragraph" w:customStyle="1" w:styleId="26">
    <w:name w:val="Body Text1"/>
    <w:qFormat/>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160" w:line="200" w:lineRule="atLeast"/>
      <w:ind w:left="340"/>
      <w:jc w:val="both"/>
    </w:pPr>
    <w:rPr>
      <w:rFonts w:ascii="Times" w:hAnsi="Times" w:eastAsia="PMingLiU" w:cs="Times New Roman"/>
      <w:color w:val="000000"/>
      <w:sz w:val="17"/>
      <w:szCs w:val="17"/>
      <w:lang w:val="en-US" w:eastAsia="zh-CN" w:bidi="ar-SA"/>
    </w:rPr>
  </w:style>
  <w:style w:type="paragraph" w:customStyle="1" w:styleId="27">
    <w:name w:val="Leading 12"/>
    <w:qFormat/>
    <w:uiPriority w:val="0"/>
    <w:pPr>
      <w:widowControl w:val="0"/>
      <w:tabs>
        <w:tab w:val="left" w:pos="340"/>
        <w:tab w:val="left" w:pos="680"/>
        <w:tab w:val="left" w:pos="1020"/>
        <w:tab w:val="left" w:pos="1361"/>
      </w:tabs>
      <w:autoSpaceDE w:val="0"/>
      <w:autoSpaceDN w:val="0"/>
      <w:adjustRightInd w:val="0"/>
      <w:spacing w:after="160" w:line="182" w:lineRule="atLeast"/>
      <w:jc w:val="both"/>
    </w:pPr>
    <w:rPr>
      <w:rFonts w:ascii="Times" w:hAnsi="Times" w:eastAsia="PMingLiU" w:cs="Times New Roman"/>
      <w:sz w:val="10"/>
      <w:szCs w:val="10"/>
      <w:lang w:val="en-US" w:eastAsia="zh-CN" w:bidi="ar-SA"/>
    </w:rPr>
  </w:style>
  <w:style w:type="paragraph" w:customStyle="1" w:styleId="28">
    <w:name w:val="Char Char Char Char"/>
    <w:basedOn w:val="1"/>
    <w:qFormat/>
    <w:uiPriority w:val="0"/>
    <w:pPr>
      <w:widowControl/>
      <w:spacing w:line="240" w:lineRule="exact"/>
    </w:pPr>
    <w:rPr>
      <w:kern w:val="0"/>
      <w:sz w:val="20"/>
      <w:szCs w:val="20"/>
    </w:rPr>
  </w:style>
  <w:style w:type="paragraph" w:customStyle="1" w:styleId="29">
    <w:name w:val="00 E_Body Text"/>
    <w:basedOn w:val="1"/>
    <w:qFormat/>
    <w:uiPriority w:val="99"/>
    <w:pPr>
      <w:tabs>
        <w:tab w:val="left" w:pos="567"/>
        <w:tab w:val="left" w:pos="1134"/>
        <w:tab w:val="left" w:pos="1701"/>
        <w:tab w:val="left" w:pos="2268"/>
      </w:tabs>
      <w:suppressAutoHyphens/>
      <w:autoSpaceDE w:val="0"/>
      <w:autoSpaceDN w:val="0"/>
      <w:adjustRightInd w:val="0"/>
      <w:spacing w:line="280" w:lineRule="atLeast"/>
      <w:jc w:val="both"/>
      <w:textAlignment w:val="baseline"/>
    </w:pPr>
    <w:rPr>
      <w:rFonts w:ascii="Times LT Std" w:hAnsi="Times LT Std" w:eastAsia="宋体" w:cs="Times LT Std"/>
      <w:color w:val="000000"/>
      <w:kern w:val="0"/>
      <w:lang w:val="en-GB"/>
    </w:rPr>
  </w:style>
  <w:style w:type="paragraph" w:customStyle="1" w:styleId="30">
    <w:name w:val="01 E_Heading Body"/>
    <w:basedOn w:val="29"/>
    <w:next w:val="29"/>
    <w:qFormat/>
    <w:uiPriority w:val="99"/>
    <w:rPr>
      <w:b/>
      <w:bCs/>
      <w:caps/>
    </w:rPr>
  </w:style>
  <w:style w:type="paragraph" w:customStyle="1" w:styleId="31">
    <w:name w:val="List Paragraph1"/>
    <w:basedOn w:val="1"/>
    <w:qFormat/>
    <w:uiPriority w:val="34"/>
    <w:pPr>
      <w:ind w:left="720"/>
    </w:pPr>
  </w:style>
  <w:style w:type="paragraph" w:customStyle="1" w:styleId="32">
    <w:name w:val="Leading 06"/>
    <w:qFormat/>
    <w:uiPriority w:val="0"/>
    <w:pPr>
      <w:widowControl w:val="0"/>
      <w:tabs>
        <w:tab w:val="left" w:pos="340"/>
        <w:tab w:val="left" w:pos="680"/>
        <w:tab w:val="left" w:pos="1020"/>
        <w:tab w:val="left" w:pos="1361"/>
      </w:tabs>
      <w:autoSpaceDE w:val="0"/>
      <w:autoSpaceDN w:val="0"/>
      <w:adjustRightInd w:val="0"/>
      <w:spacing w:after="160" w:line="180" w:lineRule="atLeast"/>
      <w:jc w:val="both"/>
    </w:pPr>
    <w:rPr>
      <w:rFonts w:ascii="Times" w:hAnsi="Times" w:eastAsia="PMingLiU" w:cs="Times New Roman"/>
      <w:sz w:val="10"/>
      <w:szCs w:val="10"/>
      <w:lang w:val="en-US" w:eastAsia="zh-CN" w:bidi="ar-SA"/>
    </w:rPr>
  </w:style>
  <w:style w:type="paragraph" w:customStyle="1" w:styleId="33">
    <w:name w:val="List Paragraph2"/>
    <w:basedOn w:val="1"/>
    <w:qFormat/>
    <w:uiPriority w:val="34"/>
    <w:pPr>
      <w:ind w:left="720"/>
      <w:contextualSpacing/>
    </w:pPr>
  </w:style>
  <w:style w:type="paragraph" w:customStyle="1" w:styleId="34">
    <w:name w:val="題目"/>
    <w:qFormat/>
    <w:uiPriority w:val="0"/>
    <w:pPr>
      <w:spacing w:after="160" w:line="259" w:lineRule="auto"/>
      <w:jc w:val="center"/>
    </w:pPr>
    <w:rPr>
      <w:rFonts w:ascii="Times New Roman" w:hAnsi="Times New Roman" w:eastAsia="MingLiU" w:cs="Times New Roman"/>
      <w:b/>
      <w:sz w:val="36"/>
      <w:lang w:val="en-US" w:eastAsia="zh-CN" w:bidi="ar-SA"/>
    </w:rPr>
  </w:style>
  <w:style w:type="paragraph" w:customStyle="1" w:styleId="35">
    <w:name w:val="List Paragraph3"/>
    <w:basedOn w:val="1"/>
    <w:qFormat/>
    <w:uiPriority w:val="34"/>
    <w:pPr>
      <w:ind w:left="720"/>
    </w:pPr>
  </w:style>
  <w:style w:type="paragraph" w:customStyle="1" w:styleId="36">
    <w:name w:val="List Paragraph4"/>
    <w:basedOn w:val="1"/>
    <w:qFormat/>
    <w:uiPriority w:val="99"/>
    <w:pPr>
      <w:ind w:left="720"/>
      <w:contextualSpacing/>
    </w:pPr>
  </w:style>
  <w:style w:type="character" w:customStyle="1" w:styleId="37">
    <w:name w:val="Header Char"/>
    <w:basedOn w:val="12"/>
    <w:link w:val="8"/>
    <w:uiPriority w:val="0"/>
    <w:rPr>
      <w:rFonts w:eastAsia="PMingLiU"/>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F3175-C77E-41B1-809F-0BA7FA3FFA9C}">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12</Pages>
  <Words>6186</Words>
  <Characters>812</Characters>
  <Lines>6</Lines>
  <Paragraphs>13</Paragraphs>
  <ScaleCrop>false</ScaleCrop>
  <LinksUpToDate>false</LinksUpToDate>
  <CharactersWithSpaces>6985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2020-12-04T06:28:00Z</dcterms:created>
  <dc:creator>田建华</dc:creator>
  <cp:lastModifiedBy>田建华</cp:lastModifiedBy>
  <cp:lastPrinted>2020-11-26T02:19:00Z</cp:lastPrinted>
  <dcterms:modified xsi:type="dcterms:W3CDTF">2020-12-04T07:18:11Z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